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207E93" w14:textId="5CD7D92E" w:rsidR="005B0986" w:rsidRPr="00E96086" w:rsidRDefault="005B0986" w:rsidP="00F742DA">
      <w:pPr>
        <w:pStyle w:val="Caption"/>
        <w:jc w:val="center"/>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02"/>
        <w:gridCol w:w="5058"/>
      </w:tblGrid>
      <w:tr w:rsidR="005B0986" w:rsidRPr="00E96086" w14:paraId="26EE7B2F" w14:textId="77777777" w:rsidTr="00941D1C">
        <w:trPr>
          <w:trHeight w:val="719"/>
        </w:trPr>
        <w:tc>
          <w:tcPr>
            <w:tcW w:w="9243" w:type="dxa"/>
            <w:gridSpan w:val="2"/>
            <w:tcBorders>
              <w:bottom w:val="single" w:sz="4" w:space="0" w:color="365F91"/>
            </w:tcBorders>
            <w:shd w:val="clear" w:color="auto" w:fill="B8CCE4"/>
            <w:vAlign w:val="center"/>
          </w:tcPr>
          <w:p w14:paraId="43915421" w14:textId="77777777" w:rsidR="005B0986" w:rsidRPr="00E96086" w:rsidRDefault="005B0986" w:rsidP="00E96086">
            <w:pPr>
              <w:spacing w:before="120" w:after="0" w:line="240" w:lineRule="auto"/>
              <w:jc w:val="center"/>
              <w:rPr>
                <w:rFonts w:ascii="Arial" w:hAnsi="Arial" w:cs="Arial"/>
                <w:b/>
                <w:bCs/>
                <w:sz w:val="20"/>
                <w:szCs w:val="20"/>
              </w:rPr>
            </w:pPr>
            <w:r w:rsidRPr="00E96086">
              <w:rPr>
                <w:rFonts w:ascii="Arial" w:hAnsi="Arial" w:cs="Arial"/>
                <w:b/>
                <w:bCs/>
                <w:sz w:val="20"/>
                <w:szCs w:val="20"/>
              </w:rPr>
              <w:t>IZVJEŠĆE O SAVJETOVANJU S JAVNOŠĆU</w:t>
            </w:r>
          </w:p>
          <w:p w14:paraId="3955457D" w14:textId="3EE66CDD" w:rsidR="005B0986" w:rsidRPr="00E96086" w:rsidRDefault="005B0986" w:rsidP="00941D1C">
            <w:pPr>
              <w:spacing w:after="0" w:line="240" w:lineRule="auto"/>
              <w:jc w:val="center"/>
              <w:rPr>
                <w:rFonts w:ascii="Arial" w:hAnsi="Arial" w:cs="Arial"/>
                <w:b/>
                <w:bCs/>
                <w:sz w:val="20"/>
                <w:szCs w:val="20"/>
              </w:rPr>
            </w:pPr>
            <w:r w:rsidRPr="00E96086">
              <w:rPr>
                <w:rFonts w:ascii="Arial" w:hAnsi="Arial" w:cs="Arial"/>
                <w:b/>
                <w:bCs/>
                <w:sz w:val="20"/>
                <w:szCs w:val="20"/>
              </w:rPr>
              <w:t xml:space="preserve">U POSTUPKU DONOŠENJA </w:t>
            </w:r>
            <w:r w:rsidR="00A11C10">
              <w:rPr>
                <w:rFonts w:ascii="Arial" w:hAnsi="Arial" w:cs="Arial"/>
                <w:b/>
                <w:bCs/>
                <w:sz w:val="20"/>
                <w:szCs w:val="20"/>
              </w:rPr>
              <w:t>ODLUKE O CIJENI VODNIH USLUGA</w:t>
            </w:r>
          </w:p>
          <w:p w14:paraId="17579B8A" w14:textId="77777777" w:rsidR="005B0986" w:rsidRPr="00E96086" w:rsidRDefault="005B0986" w:rsidP="00941D1C">
            <w:pPr>
              <w:spacing w:after="0" w:line="240" w:lineRule="auto"/>
              <w:jc w:val="center"/>
              <w:rPr>
                <w:rFonts w:ascii="Arial" w:hAnsi="Arial" w:cs="Arial"/>
                <w:b/>
                <w:bCs/>
                <w:sz w:val="20"/>
                <w:szCs w:val="20"/>
              </w:rPr>
            </w:pPr>
          </w:p>
          <w:p w14:paraId="16F6A96B" w14:textId="200B0B79" w:rsidR="005B0986" w:rsidRPr="00E96086" w:rsidRDefault="00A11C10" w:rsidP="00A11C10">
            <w:pPr>
              <w:spacing w:after="0" w:line="240" w:lineRule="auto"/>
              <w:jc w:val="center"/>
              <w:rPr>
                <w:rFonts w:ascii="Arial" w:hAnsi="Arial" w:cs="Arial"/>
                <w:b/>
                <w:bCs/>
                <w:sz w:val="20"/>
                <w:szCs w:val="20"/>
              </w:rPr>
            </w:pPr>
            <w:r>
              <w:rPr>
                <w:rFonts w:ascii="Arial" w:hAnsi="Arial" w:cs="Arial"/>
                <w:b/>
                <w:bCs/>
                <w:sz w:val="20"/>
                <w:szCs w:val="20"/>
              </w:rPr>
              <w:t>Vinkovački vodovod i kanalizacija d.o.o.</w:t>
            </w:r>
          </w:p>
          <w:p w14:paraId="73E4ADDA" w14:textId="4E897A3C" w:rsidR="005B0986" w:rsidRPr="00E96086" w:rsidRDefault="00A11C10" w:rsidP="00E96086">
            <w:pPr>
              <w:spacing w:after="120" w:line="240" w:lineRule="auto"/>
              <w:jc w:val="center"/>
              <w:rPr>
                <w:rFonts w:ascii="Arial" w:hAnsi="Arial" w:cs="Arial"/>
                <w:b/>
                <w:bCs/>
                <w:sz w:val="20"/>
                <w:szCs w:val="20"/>
              </w:rPr>
            </w:pPr>
            <w:r>
              <w:rPr>
                <w:rFonts w:ascii="Arial" w:hAnsi="Arial" w:cs="Arial"/>
                <w:b/>
                <w:bCs/>
                <w:sz w:val="20"/>
                <w:szCs w:val="20"/>
              </w:rPr>
              <w:t>Vinkovci, 1</w:t>
            </w:r>
            <w:r w:rsidR="00872C2F">
              <w:rPr>
                <w:rFonts w:ascii="Arial" w:hAnsi="Arial" w:cs="Arial"/>
                <w:b/>
                <w:bCs/>
                <w:sz w:val="20"/>
                <w:szCs w:val="20"/>
              </w:rPr>
              <w:t>9</w:t>
            </w:r>
            <w:r>
              <w:rPr>
                <w:rFonts w:ascii="Arial" w:hAnsi="Arial" w:cs="Arial"/>
                <w:b/>
                <w:bCs/>
                <w:sz w:val="20"/>
                <w:szCs w:val="20"/>
              </w:rPr>
              <w:t>. prosinca 2022. godine</w:t>
            </w:r>
          </w:p>
        </w:tc>
      </w:tr>
      <w:tr w:rsidR="005B0986" w:rsidRPr="00E96086" w14:paraId="42ACF8A7" w14:textId="77777777" w:rsidTr="00E96086">
        <w:trPr>
          <w:trHeight w:val="777"/>
        </w:trPr>
        <w:tc>
          <w:tcPr>
            <w:tcW w:w="407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5F87EA3"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 xml:space="preserve">Naziv akta za koji je provedeno savjetovanje s javnošću </w:t>
            </w:r>
          </w:p>
        </w:tc>
        <w:tc>
          <w:tcPr>
            <w:tcW w:w="51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91EEE68" w14:textId="25421F09" w:rsidR="005B0986" w:rsidRPr="00E96086" w:rsidRDefault="00872C2F" w:rsidP="00E96086">
            <w:pPr>
              <w:spacing w:beforeLines="60" w:before="144" w:afterLines="60" w:after="144" w:line="240" w:lineRule="auto"/>
              <w:jc w:val="both"/>
              <w:rPr>
                <w:rFonts w:ascii="Arial" w:hAnsi="Arial" w:cs="Arial"/>
                <w:bCs/>
                <w:sz w:val="20"/>
                <w:szCs w:val="20"/>
              </w:rPr>
            </w:pPr>
            <w:r>
              <w:rPr>
                <w:rFonts w:ascii="Arial" w:hAnsi="Arial" w:cs="Arial"/>
                <w:bCs/>
                <w:sz w:val="20"/>
                <w:szCs w:val="20"/>
              </w:rPr>
              <w:t xml:space="preserve">Nacrt </w:t>
            </w:r>
            <w:r w:rsidR="00A11C10">
              <w:rPr>
                <w:rFonts w:ascii="Arial" w:hAnsi="Arial" w:cs="Arial"/>
                <w:bCs/>
                <w:sz w:val="20"/>
                <w:szCs w:val="20"/>
              </w:rPr>
              <w:t>Odluk</w:t>
            </w:r>
            <w:r>
              <w:rPr>
                <w:rFonts w:ascii="Arial" w:hAnsi="Arial" w:cs="Arial"/>
                <w:bCs/>
                <w:sz w:val="20"/>
                <w:szCs w:val="20"/>
              </w:rPr>
              <w:t>e</w:t>
            </w:r>
            <w:r w:rsidR="00A11C10">
              <w:rPr>
                <w:rFonts w:ascii="Arial" w:hAnsi="Arial" w:cs="Arial"/>
                <w:bCs/>
                <w:sz w:val="20"/>
                <w:szCs w:val="20"/>
              </w:rPr>
              <w:t xml:space="preserve"> o cijeni vodnih usluga</w:t>
            </w:r>
          </w:p>
        </w:tc>
      </w:tr>
      <w:tr w:rsidR="005B0986" w:rsidRPr="00E96086" w14:paraId="32B68336" w14:textId="77777777" w:rsidTr="00E96086">
        <w:trPr>
          <w:trHeight w:val="831"/>
        </w:trPr>
        <w:tc>
          <w:tcPr>
            <w:tcW w:w="407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00CBF597"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 xml:space="preserve">Naziv tijela nadležnog za izradu nacrta / provedbu savjetovanja </w:t>
            </w:r>
          </w:p>
        </w:tc>
        <w:tc>
          <w:tcPr>
            <w:tcW w:w="51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B9949F2" w14:textId="22D0BEDC" w:rsidR="005B0986" w:rsidRPr="00E96086" w:rsidRDefault="00A11C10" w:rsidP="00E96086">
            <w:pPr>
              <w:spacing w:beforeLines="60" w:before="144" w:afterLines="60" w:after="144" w:line="240" w:lineRule="auto"/>
              <w:jc w:val="both"/>
              <w:rPr>
                <w:rFonts w:ascii="Arial" w:hAnsi="Arial" w:cs="Arial"/>
                <w:bCs/>
                <w:sz w:val="20"/>
                <w:szCs w:val="20"/>
              </w:rPr>
            </w:pPr>
            <w:r>
              <w:rPr>
                <w:rFonts w:ascii="Arial" w:hAnsi="Arial" w:cs="Arial"/>
                <w:bCs/>
                <w:sz w:val="20"/>
                <w:szCs w:val="20"/>
              </w:rPr>
              <w:t>Vinkovački vodovod i kanalizacija d.o.o.</w:t>
            </w:r>
            <w:r w:rsidR="00872C2F">
              <w:rPr>
                <w:rFonts w:ascii="Arial" w:hAnsi="Arial" w:cs="Arial"/>
                <w:bCs/>
                <w:sz w:val="20"/>
                <w:szCs w:val="20"/>
              </w:rPr>
              <w:t>, Dragutina Žanića – Karle 47a, Vinkovci</w:t>
            </w:r>
          </w:p>
        </w:tc>
      </w:tr>
      <w:tr w:rsidR="005B0986" w:rsidRPr="00E96086" w14:paraId="66B0CA38" w14:textId="77777777" w:rsidTr="00E96086">
        <w:trPr>
          <w:trHeight w:val="2402"/>
        </w:trPr>
        <w:tc>
          <w:tcPr>
            <w:tcW w:w="4077" w:type="dxa"/>
            <w:tcBorders>
              <w:top w:val="single" w:sz="4" w:space="0" w:color="365F91"/>
              <w:left w:val="single" w:sz="4" w:space="0" w:color="365F91"/>
              <w:bottom w:val="single" w:sz="4" w:space="0" w:color="auto"/>
              <w:right w:val="single" w:sz="4" w:space="0" w:color="365F91"/>
            </w:tcBorders>
            <w:shd w:val="clear" w:color="auto" w:fill="auto"/>
            <w:vAlign w:val="center"/>
          </w:tcPr>
          <w:p w14:paraId="1ED479BC"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Razlozi za donošenje akta i ciljevi koji se njime žele postići uz sažetak ključnih pitanja</w:t>
            </w:r>
          </w:p>
        </w:tc>
        <w:tc>
          <w:tcPr>
            <w:tcW w:w="5166" w:type="dxa"/>
            <w:tcBorders>
              <w:top w:val="single" w:sz="4" w:space="0" w:color="365F91"/>
              <w:left w:val="single" w:sz="4" w:space="0" w:color="365F91"/>
              <w:bottom w:val="single" w:sz="4" w:space="0" w:color="365F91"/>
              <w:right w:val="single" w:sz="4" w:space="0" w:color="365F91"/>
            </w:tcBorders>
            <w:shd w:val="clear" w:color="auto" w:fill="auto"/>
          </w:tcPr>
          <w:p w14:paraId="2A4B57A6" w14:textId="3A6FDA9C" w:rsidR="00AA08E4" w:rsidRPr="00AA08E4" w:rsidRDefault="00AA08E4" w:rsidP="00AA08E4">
            <w:pPr>
              <w:spacing w:after="0" w:line="240" w:lineRule="auto"/>
              <w:rPr>
                <w:rFonts w:ascii="Arial" w:hAnsi="Arial" w:cs="Arial"/>
                <w:sz w:val="20"/>
                <w:szCs w:val="20"/>
              </w:rPr>
            </w:pPr>
            <w:r w:rsidRPr="00AA08E4">
              <w:rPr>
                <w:rFonts w:ascii="Arial" w:hAnsi="Arial" w:cs="Arial"/>
                <w:sz w:val="20"/>
                <w:szCs w:val="20"/>
              </w:rPr>
              <w:t>Javni isporučitelj vodnih usluga Vinkovački vodovod i kanalizacija d.o.o. cijenu vodnih usluga javne vodoopskrbe i javne odvodnje zadnji put je korigirao 2011. godine te uslugu pročišćavanja 2014. godine kada je iskazana potreba za korekciju istih poradi punog povrata troškova od vodnih aktivnosti kroz politiku cijene koja je propisana Uredbom o najnižoj cijeni vodnih usluga i vrsti troškova koje cijena vodnih usluga pokriva (NN 112/10).</w:t>
            </w:r>
          </w:p>
          <w:p w14:paraId="705115CC" w14:textId="39ABB315" w:rsidR="00AA08E4" w:rsidRPr="00AA08E4" w:rsidRDefault="00AA08E4" w:rsidP="00AA08E4">
            <w:pPr>
              <w:spacing w:after="0" w:line="240" w:lineRule="auto"/>
              <w:rPr>
                <w:rFonts w:ascii="Arial" w:hAnsi="Arial" w:cs="Arial"/>
                <w:sz w:val="20"/>
                <w:szCs w:val="20"/>
              </w:rPr>
            </w:pPr>
            <w:r w:rsidRPr="00AA08E4">
              <w:rPr>
                <w:rFonts w:ascii="Arial" w:hAnsi="Arial" w:cs="Arial"/>
                <w:sz w:val="20"/>
                <w:szCs w:val="20"/>
              </w:rPr>
              <w:t xml:space="preserve">Razlozi za predloženu korekciju cijene sadržani su prvenstveno zbog naglog i velikog povećanja troškova uslijed kretanja na globalnom tržištu te ukoliko bi ostali na sadašnjim cijenama vodnih usluga, osnovna djelatnost tvrtke dovela bi se u tešku poziciju. Od zadnje promjene cijene došlo je do značajnog povećanja tekućih materijalnih troškova na održavanju cijelog sustava  objekata javne vodoopskrbe i javne odvodnje otpadnih voda, kao što su usluge održavanja vodoopskrbne mreže (852 km i 31.532 priključka) i mreže odvodnje (289 km i 11.806 priključaka) te uređaja za pročišćavanja otpadnih voda (5 UPOV-a), ispitivanja kontrole kvalitete pitke vode, nabave i ugradnje vodovodnog materijala i materijala javne odvodnje. Povećani opseg investicija, te sve veća tehnička modernizacija sustava, sigurna, kontinuirana i kvalitetna  javna vodoopskrba oko 100.000 korisnika, uz kontinuirano povećanje zakonskih obveza također je dovelo do rasta troškova poslovanja. </w:t>
            </w:r>
          </w:p>
          <w:p w14:paraId="71BE334F" w14:textId="77777777" w:rsidR="00AA08E4" w:rsidRPr="00AA08E4" w:rsidRDefault="00AA08E4" w:rsidP="00AA08E4">
            <w:pPr>
              <w:spacing w:after="0" w:line="240" w:lineRule="auto"/>
              <w:rPr>
                <w:rFonts w:ascii="Arial" w:hAnsi="Arial" w:cs="Arial"/>
                <w:sz w:val="20"/>
                <w:szCs w:val="20"/>
              </w:rPr>
            </w:pPr>
            <w:r w:rsidRPr="00AA08E4">
              <w:rPr>
                <w:rFonts w:ascii="Arial" w:hAnsi="Arial" w:cs="Arial"/>
                <w:sz w:val="20"/>
                <w:szCs w:val="20"/>
              </w:rPr>
              <w:t>Trošak električne energije gledano unatrag godinu dana povećao se 48 %, trošak goriva je 52% viši u odnosu na isto razdoblje prošle godine, a trošak plina je viši 22 %.</w:t>
            </w:r>
          </w:p>
          <w:p w14:paraId="28C355D0" w14:textId="268B8759" w:rsidR="00AA08E4" w:rsidRPr="00AA08E4" w:rsidRDefault="00AA08E4" w:rsidP="00AA08E4">
            <w:pPr>
              <w:spacing w:after="0" w:line="240" w:lineRule="auto"/>
              <w:rPr>
                <w:rFonts w:ascii="Arial" w:hAnsi="Arial" w:cs="Arial"/>
                <w:sz w:val="20"/>
                <w:szCs w:val="20"/>
              </w:rPr>
            </w:pPr>
            <w:r w:rsidRPr="00AA08E4">
              <w:rPr>
                <w:rFonts w:ascii="Arial" w:hAnsi="Arial" w:cs="Arial"/>
                <w:sz w:val="20"/>
                <w:szCs w:val="20"/>
              </w:rPr>
              <w:t>Završetkom investicija na vodnim građevinama  povećava se trošak amortizacije, a povećava se i broj uređaja za pročišćavanje otpadnih voda, objekata (</w:t>
            </w:r>
            <w:proofErr w:type="spellStart"/>
            <w:r w:rsidRPr="00AA08E4">
              <w:rPr>
                <w:rFonts w:ascii="Arial" w:hAnsi="Arial" w:cs="Arial"/>
                <w:sz w:val="20"/>
                <w:szCs w:val="20"/>
              </w:rPr>
              <w:t>precrpnih</w:t>
            </w:r>
            <w:proofErr w:type="spellEnd"/>
            <w:r w:rsidRPr="00AA08E4">
              <w:rPr>
                <w:rFonts w:ascii="Arial" w:hAnsi="Arial" w:cs="Arial"/>
                <w:sz w:val="20"/>
                <w:szCs w:val="20"/>
              </w:rPr>
              <w:t xml:space="preserve"> stanica) na odvodnji i pročišćavanju otpadnih voda što, uz značajno povećanje cijene energenata, dovodi također do povećanih troškova.</w:t>
            </w:r>
          </w:p>
          <w:p w14:paraId="584EEB96" w14:textId="77777777" w:rsidR="005B0986" w:rsidRPr="00AA08E4" w:rsidRDefault="005B0986" w:rsidP="00E96086">
            <w:pPr>
              <w:spacing w:beforeLines="60" w:before="144" w:afterLines="60" w:after="144" w:line="240" w:lineRule="auto"/>
              <w:jc w:val="both"/>
              <w:rPr>
                <w:rFonts w:ascii="Arial" w:hAnsi="Arial" w:cs="Arial"/>
                <w:bCs/>
                <w:sz w:val="20"/>
                <w:szCs w:val="20"/>
              </w:rPr>
            </w:pPr>
          </w:p>
        </w:tc>
      </w:tr>
      <w:tr w:rsidR="005B0986" w:rsidRPr="00E96086" w14:paraId="366C5695" w14:textId="77777777" w:rsidTr="00E96086">
        <w:trPr>
          <w:trHeight w:val="525"/>
        </w:trPr>
        <w:tc>
          <w:tcPr>
            <w:tcW w:w="4077" w:type="dxa"/>
            <w:tcBorders>
              <w:top w:val="single" w:sz="4" w:space="0" w:color="auto"/>
              <w:left w:val="single" w:sz="4" w:space="0" w:color="365F91"/>
              <w:bottom w:val="single" w:sz="4" w:space="0" w:color="auto"/>
              <w:right w:val="single" w:sz="4" w:space="0" w:color="365F91"/>
            </w:tcBorders>
            <w:shd w:val="clear" w:color="auto" w:fill="auto"/>
            <w:vAlign w:val="center"/>
          </w:tcPr>
          <w:p w14:paraId="14C3AA4D" w14:textId="6333B4F2"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Objava dokumenata za savjetovanje</w:t>
            </w:r>
            <w:r w:rsidR="00F742DA" w:rsidRPr="00E96086">
              <w:rPr>
                <w:rFonts w:ascii="Arial" w:hAnsi="Arial" w:cs="Arial"/>
                <w:b/>
                <w:bCs/>
                <w:sz w:val="20"/>
                <w:szCs w:val="20"/>
              </w:rPr>
              <w:t xml:space="preserve"> </w:t>
            </w:r>
          </w:p>
        </w:tc>
        <w:tc>
          <w:tcPr>
            <w:tcW w:w="51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6055A77" w14:textId="3341FBB1" w:rsidR="005B0986" w:rsidRPr="00E96086" w:rsidRDefault="00A11C10" w:rsidP="00E96086">
            <w:pPr>
              <w:spacing w:beforeLines="60" w:before="144" w:afterLines="60" w:after="144" w:line="240" w:lineRule="auto"/>
              <w:rPr>
                <w:rFonts w:ascii="Arial" w:hAnsi="Arial" w:cs="Arial"/>
                <w:bCs/>
                <w:sz w:val="20"/>
                <w:szCs w:val="20"/>
              </w:rPr>
            </w:pPr>
            <w:r w:rsidRPr="00A11C10">
              <w:rPr>
                <w:rFonts w:ascii="Arial" w:hAnsi="Arial" w:cs="Arial"/>
                <w:bCs/>
                <w:sz w:val="20"/>
                <w:szCs w:val="20"/>
              </w:rPr>
              <w:t>https://vvk.hr/e-savjetovanje/</w:t>
            </w:r>
          </w:p>
        </w:tc>
      </w:tr>
      <w:tr w:rsidR="005B0986" w:rsidRPr="00E96086" w14:paraId="05945D96" w14:textId="77777777" w:rsidTr="00E96086">
        <w:trPr>
          <w:trHeight w:val="1073"/>
        </w:trPr>
        <w:tc>
          <w:tcPr>
            <w:tcW w:w="4077" w:type="dxa"/>
            <w:tcBorders>
              <w:top w:val="single" w:sz="4" w:space="0" w:color="auto"/>
              <w:left w:val="single" w:sz="4" w:space="0" w:color="365F91"/>
              <w:bottom w:val="single" w:sz="4" w:space="0" w:color="365F91"/>
              <w:right w:val="single" w:sz="4" w:space="0" w:color="365F91"/>
            </w:tcBorders>
            <w:shd w:val="clear" w:color="auto" w:fill="auto"/>
            <w:vAlign w:val="center"/>
          </w:tcPr>
          <w:p w14:paraId="75425350" w14:textId="51B18C3E" w:rsidR="005B0986" w:rsidRPr="00E96086" w:rsidRDefault="00E960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lastRenderedPageBreak/>
              <w:t xml:space="preserve">Razdoblje provedbe savjetovanja </w:t>
            </w:r>
          </w:p>
        </w:tc>
        <w:tc>
          <w:tcPr>
            <w:tcW w:w="5166" w:type="dxa"/>
            <w:tcBorders>
              <w:top w:val="single" w:sz="4" w:space="0" w:color="365F91"/>
              <w:left w:val="single" w:sz="4" w:space="0" w:color="365F91"/>
              <w:right w:val="single" w:sz="4" w:space="0" w:color="365F91"/>
            </w:tcBorders>
            <w:shd w:val="clear" w:color="auto" w:fill="auto"/>
            <w:vAlign w:val="center"/>
          </w:tcPr>
          <w:p w14:paraId="3990DDA9" w14:textId="168873B5" w:rsidR="005B0986" w:rsidRPr="00E96086" w:rsidRDefault="00A11C10" w:rsidP="00E96086">
            <w:pPr>
              <w:spacing w:beforeLines="60" w:before="144" w:afterLines="60" w:after="144" w:line="240" w:lineRule="auto"/>
              <w:rPr>
                <w:rFonts w:ascii="Arial" w:hAnsi="Arial" w:cs="Arial"/>
                <w:bCs/>
                <w:sz w:val="20"/>
                <w:szCs w:val="20"/>
              </w:rPr>
            </w:pPr>
            <w:r>
              <w:rPr>
                <w:rFonts w:ascii="Arial" w:hAnsi="Arial" w:cs="Arial"/>
                <w:bCs/>
                <w:sz w:val="20"/>
                <w:szCs w:val="20"/>
              </w:rPr>
              <w:t>14.11.2022. – 14.12.2022</w:t>
            </w:r>
          </w:p>
        </w:tc>
      </w:tr>
      <w:tr w:rsidR="005B0986" w:rsidRPr="00E96086" w14:paraId="74D3580F" w14:textId="77777777" w:rsidTr="00E96086">
        <w:trPr>
          <w:trHeight w:val="2183"/>
        </w:trPr>
        <w:tc>
          <w:tcPr>
            <w:tcW w:w="407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27D6F805"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 xml:space="preserve">Pregled osnovnih pokazatelja  uključenosti savjetovanja s javnošću </w:t>
            </w:r>
          </w:p>
        </w:tc>
        <w:tc>
          <w:tcPr>
            <w:tcW w:w="51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7CF597F4" w14:textId="7D057F6F" w:rsidR="005B0986" w:rsidRPr="00E96086" w:rsidRDefault="00A11C10" w:rsidP="00E96086">
            <w:pPr>
              <w:spacing w:beforeLines="60" w:before="144" w:afterLines="60" w:after="144" w:line="240" w:lineRule="auto"/>
              <w:rPr>
                <w:rFonts w:ascii="Arial" w:hAnsi="Arial" w:cs="Arial"/>
                <w:bCs/>
                <w:sz w:val="20"/>
                <w:szCs w:val="20"/>
              </w:rPr>
            </w:pPr>
            <w:r>
              <w:rPr>
                <w:rFonts w:ascii="Arial" w:hAnsi="Arial" w:cs="Arial"/>
                <w:bCs/>
                <w:sz w:val="20"/>
                <w:szCs w:val="20"/>
              </w:rPr>
              <w:t>Nije bilo primjedbi i mišljenja na Nacrt Odluke o cijeni vodnih usluga</w:t>
            </w:r>
          </w:p>
        </w:tc>
      </w:tr>
      <w:tr w:rsidR="005B0986" w:rsidRPr="00E96086" w14:paraId="540AC297" w14:textId="77777777" w:rsidTr="00E96086">
        <w:tc>
          <w:tcPr>
            <w:tcW w:w="407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6AE6315B"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 xml:space="preserve">Pregled prihvaćenih i neprihvaćenih mišljenja i prijedloga s obrazloženjem razloga za neprihvaćanje </w:t>
            </w:r>
          </w:p>
        </w:tc>
        <w:tc>
          <w:tcPr>
            <w:tcW w:w="51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552DAB20" w14:textId="54A5968C" w:rsidR="005B0986" w:rsidRPr="00E96086" w:rsidRDefault="00A11C10" w:rsidP="00A11C10">
            <w:pPr>
              <w:spacing w:beforeLines="60" w:before="144" w:afterLines="60" w:after="144" w:line="240" w:lineRule="auto"/>
              <w:jc w:val="center"/>
              <w:rPr>
                <w:rFonts w:ascii="Arial" w:hAnsi="Arial" w:cs="Arial"/>
                <w:bCs/>
                <w:sz w:val="20"/>
                <w:szCs w:val="20"/>
              </w:rPr>
            </w:pPr>
            <w:r>
              <w:rPr>
                <w:rFonts w:ascii="Arial" w:hAnsi="Arial" w:cs="Arial"/>
                <w:bCs/>
                <w:sz w:val="20"/>
                <w:szCs w:val="20"/>
              </w:rPr>
              <w:t>-</w:t>
            </w:r>
          </w:p>
        </w:tc>
      </w:tr>
      <w:tr w:rsidR="005B0986" w:rsidRPr="00E96086" w14:paraId="5ED58CA0" w14:textId="77777777" w:rsidTr="00E96086">
        <w:trPr>
          <w:trHeight w:val="785"/>
        </w:trPr>
        <w:tc>
          <w:tcPr>
            <w:tcW w:w="407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3BD7FE23"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 xml:space="preserve">Ostali oblici savjetovanja s javnošću </w:t>
            </w:r>
          </w:p>
        </w:tc>
        <w:tc>
          <w:tcPr>
            <w:tcW w:w="5166" w:type="dxa"/>
            <w:tcBorders>
              <w:top w:val="single" w:sz="4" w:space="0" w:color="365F91"/>
              <w:left w:val="single" w:sz="4" w:space="0" w:color="365F91"/>
              <w:bottom w:val="single" w:sz="4" w:space="0" w:color="365F91"/>
              <w:right w:val="single" w:sz="4" w:space="0" w:color="365F91"/>
            </w:tcBorders>
            <w:shd w:val="clear" w:color="auto" w:fill="auto"/>
            <w:vAlign w:val="center"/>
          </w:tcPr>
          <w:p w14:paraId="138134DC" w14:textId="6F8D589D" w:rsidR="00710D22" w:rsidRPr="00E96086" w:rsidRDefault="00A11C10" w:rsidP="00A11C10">
            <w:pPr>
              <w:spacing w:beforeLines="60" w:before="144" w:afterLines="60" w:after="144" w:line="240" w:lineRule="auto"/>
              <w:jc w:val="center"/>
              <w:rPr>
                <w:rFonts w:ascii="Arial" w:hAnsi="Arial" w:cs="Arial"/>
                <w:bCs/>
                <w:sz w:val="20"/>
                <w:szCs w:val="20"/>
              </w:rPr>
            </w:pPr>
            <w:r>
              <w:rPr>
                <w:rFonts w:ascii="Arial" w:hAnsi="Arial" w:cs="Arial"/>
                <w:bCs/>
                <w:sz w:val="20"/>
                <w:szCs w:val="20"/>
              </w:rPr>
              <w:t>-</w:t>
            </w:r>
          </w:p>
        </w:tc>
      </w:tr>
      <w:tr w:rsidR="005B0986" w:rsidRPr="00E96086" w14:paraId="076B2118" w14:textId="77777777" w:rsidTr="00E96086">
        <w:trPr>
          <w:trHeight w:val="777"/>
        </w:trPr>
        <w:tc>
          <w:tcPr>
            <w:tcW w:w="4077" w:type="dxa"/>
            <w:tcBorders>
              <w:top w:val="single" w:sz="4" w:space="0" w:color="365F91"/>
              <w:left w:val="single" w:sz="4" w:space="0" w:color="365F91"/>
              <w:bottom w:val="single" w:sz="4" w:space="0" w:color="365F91"/>
              <w:right w:val="single" w:sz="4" w:space="0" w:color="365F91"/>
            </w:tcBorders>
            <w:shd w:val="clear" w:color="auto" w:fill="auto"/>
            <w:vAlign w:val="center"/>
          </w:tcPr>
          <w:p w14:paraId="4180B283" w14:textId="77777777" w:rsidR="005B0986" w:rsidRPr="00E96086" w:rsidRDefault="005B0986" w:rsidP="00E96086">
            <w:pPr>
              <w:spacing w:beforeLines="60" w:before="144" w:afterLines="60" w:after="144" w:line="240" w:lineRule="auto"/>
              <w:rPr>
                <w:rFonts w:ascii="Arial" w:hAnsi="Arial" w:cs="Arial"/>
                <w:b/>
                <w:bCs/>
                <w:sz w:val="20"/>
                <w:szCs w:val="20"/>
              </w:rPr>
            </w:pPr>
            <w:r w:rsidRPr="00E96086">
              <w:rPr>
                <w:rFonts w:ascii="Arial" w:hAnsi="Arial" w:cs="Arial"/>
                <w:b/>
                <w:bCs/>
                <w:sz w:val="20"/>
                <w:szCs w:val="20"/>
              </w:rPr>
              <w:t>Troškovi provedenog savjetovanja</w:t>
            </w:r>
          </w:p>
        </w:tc>
        <w:tc>
          <w:tcPr>
            <w:tcW w:w="5166" w:type="dxa"/>
            <w:tcBorders>
              <w:top w:val="single" w:sz="4" w:space="0" w:color="365F91"/>
              <w:left w:val="single" w:sz="4" w:space="0" w:color="365F91"/>
              <w:bottom w:val="single" w:sz="4" w:space="0" w:color="365F91"/>
              <w:right w:val="single" w:sz="4" w:space="0" w:color="365F91"/>
            </w:tcBorders>
            <w:shd w:val="clear" w:color="auto" w:fill="auto"/>
          </w:tcPr>
          <w:p w14:paraId="014D2402" w14:textId="1C8D847C" w:rsidR="005B0986" w:rsidRPr="00E96086" w:rsidRDefault="00A11C10" w:rsidP="00A11C10">
            <w:pPr>
              <w:spacing w:beforeLines="60" w:before="144" w:afterLines="60" w:after="144" w:line="240" w:lineRule="auto"/>
              <w:jc w:val="center"/>
              <w:rPr>
                <w:rFonts w:ascii="Arial" w:hAnsi="Arial" w:cs="Arial"/>
                <w:bCs/>
                <w:sz w:val="20"/>
                <w:szCs w:val="20"/>
              </w:rPr>
            </w:pPr>
            <w:r>
              <w:rPr>
                <w:rFonts w:ascii="Arial" w:hAnsi="Arial" w:cs="Arial"/>
                <w:bCs/>
                <w:sz w:val="20"/>
                <w:szCs w:val="20"/>
              </w:rPr>
              <w:t>-</w:t>
            </w:r>
          </w:p>
        </w:tc>
      </w:tr>
    </w:tbl>
    <w:p w14:paraId="62FC5E8D" w14:textId="3D36CD45" w:rsidR="00FF0B57" w:rsidRDefault="00FF0B57">
      <w:pPr>
        <w:rPr>
          <w:rFonts w:ascii="Arial" w:hAnsi="Arial" w:cs="Arial"/>
        </w:rPr>
      </w:pPr>
    </w:p>
    <w:p w14:paraId="48E0D8D2" w14:textId="77777777" w:rsidR="00872C2F" w:rsidRDefault="00872C2F" w:rsidP="00872C2F">
      <w:pPr>
        <w:spacing w:after="0" w:line="240" w:lineRule="auto"/>
        <w:rPr>
          <w:rFonts w:ascii="Arial" w:hAnsi="Arial" w:cs="Arial"/>
        </w:rPr>
      </w:pPr>
      <w:r>
        <w:rPr>
          <w:rFonts w:ascii="Arial" w:hAnsi="Arial" w:cs="Arial"/>
        </w:rPr>
        <w:t xml:space="preserve">Napomena: S 14.12.2022. godine nije bilo dostavljenih prijedloga, primjedbi i mišljenja. </w:t>
      </w:r>
    </w:p>
    <w:p w14:paraId="7A6DB79D" w14:textId="222FDBA8" w:rsidR="00872C2F" w:rsidRDefault="00872C2F" w:rsidP="00872C2F">
      <w:pPr>
        <w:spacing w:after="0" w:line="240" w:lineRule="auto"/>
        <w:rPr>
          <w:rFonts w:ascii="Arial" w:hAnsi="Arial" w:cs="Arial"/>
        </w:rPr>
      </w:pPr>
      <w:r>
        <w:rPr>
          <w:rFonts w:ascii="Arial" w:hAnsi="Arial" w:cs="Arial"/>
        </w:rPr>
        <w:t xml:space="preserve">Ovo izvješće o provedenom savjetovanju objavljeno je na internetskoj stranici </w:t>
      </w:r>
      <w:hyperlink r:id="rId6" w:history="1">
        <w:r w:rsidRPr="009363A5">
          <w:rPr>
            <w:rStyle w:val="Hyperlink"/>
            <w:rFonts w:ascii="Arial" w:hAnsi="Arial" w:cs="Arial"/>
          </w:rPr>
          <w:t>https://vvk.hr/e-savjetovanje/</w:t>
        </w:r>
      </w:hyperlink>
    </w:p>
    <w:p w14:paraId="237CDCB5" w14:textId="77777777" w:rsidR="00063710" w:rsidRDefault="00063710" w:rsidP="00872C2F">
      <w:pPr>
        <w:spacing w:after="0" w:line="240" w:lineRule="auto"/>
        <w:rPr>
          <w:rFonts w:ascii="Arial" w:hAnsi="Arial" w:cs="Arial"/>
        </w:rPr>
      </w:pPr>
    </w:p>
    <w:p w14:paraId="519BAA11" w14:textId="77777777" w:rsidR="00872C2F" w:rsidRDefault="00872C2F" w:rsidP="00872C2F">
      <w:pPr>
        <w:spacing w:after="0" w:line="240" w:lineRule="auto"/>
        <w:rPr>
          <w:rFonts w:ascii="Arial" w:hAnsi="Arial" w:cs="Arial"/>
        </w:rPr>
      </w:pPr>
    </w:p>
    <w:p w14:paraId="7FE69FA3" w14:textId="090CA52F" w:rsidR="00872C2F" w:rsidRDefault="00872C2F" w:rsidP="00872C2F">
      <w:pPr>
        <w:spacing w:after="0" w:line="240" w:lineRule="auto"/>
        <w:rPr>
          <w:rFonts w:ascii="Arial" w:hAnsi="Arial" w:cs="Arial"/>
        </w:rPr>
      </w:pPr>
      <w:r>
        <w:rPr>
          <w:rFonts w:ascii="Arial" w:hAnsi="Arial" w:cs="Arial"/>
        </w:rPr>
        <w:t>Vinkovci, 19. prosinca 2022. godine</w:t>
      </w:r>
    </w:p>
    <w:p w14:paraId="292D948C" w14:textId="77777777" w:rsidR="00063710" w:rsidRDefault="00063710" w:rsidP="00872C2F">
      <w:pPr>
        <w:spacing w:after="0" w:line="240" w:lineRule="auto"/>
        <w:jc w:val="right"/>
        <w:rPr>
          <w:rFonts w:ascii="Arial" w:hAnsi="Arial" w:cs="Arial"/>
          <w:b/>
          <w:bCs/>
          <w:i/>
          <w:iCs/>
        </w:rPr>
      </w:pPr>
    </w:p>
    <w:p w14:paraId="61C90A47" w14:textId="77777777" w:rsidR="00063710" w:rsidRDefault="00063710" w:rsidP="00872C2F">
      <w:pPr>
        <w:spacing w:after="0" w:line="240" w:lineRule="auto"/>
        <w:jc w:val="right"/>
        <w:rPr>
          <w:rFonts w:ascii="Arial" w:hAnsi="Arial" w:cs="Arial"/>
          <w:b/>
          <w:bCs/>
          <w:i/>
          <w:iCs/>
        </w:rPr>
      </w:pPr>
    </w:p>
    <w:p w14:paraId="1A0029CF" w14:textId="77777777" w:rsidR="00063710" w:rsidRDefault="00063710" w:rsidP="00872C2F">
      <w:pPr>
        <w:spacing w:after="0" w:line="240" w:lineRule="auto"/>
        <w:jc w:val="right"/>
        <w:rPr>
          <w:rFonts w:ascii="Arial" w:hAnsi="Arial" w:cs="Arial"/>
          <w:b/>
          <w:bCs/>
          <w:i/>
          <w:iCs/>
        </w:rPr>
      </w:pPr>
    </w:p>
    <w:p w14:paraId="1850356B" w14:textId="77777777" w:rsidR="00063710" w:rsidRDefault="00063710" w:rsidP="00872C2F">
      <w:pPr>
        <w:spacing w:after="0" w:line="240" w:lineRule="auto"/>
        <w:jc w:val="right"/>
        <w:rPr>
          <w:rFonts w:ascii="Arial" w:hAnsi="Arial" w:cs="Arial"/>
          <w:b/>
          <w:bCs/>
          <w:i/>
          <w:iCs/>
        </w:rPr>
      </w:pPr>
    </w:p>
    <w:p w14:paraId="5384EB35" w14:textId="1350A82B" w:rsidR="00872C2F" w:rsidRPr="00872C2F" w:rsidRDefault="00872C2F" w:rsidP="00872C2F">
      <w:pPr>
        <w:spacing w:after="0" w:line="240" w:lineRule="auto"/>
        <w:jc w:val="right"/>
        <w:rPr>
          <w:rFonts w:ascii="Arial" w:hAnsi="Arial" w:cs="Arial"/>
          <w:b/>
          <w:bCs/>
          <w:i/>
          <w:iCs/>
        </w:rPr>
      </w:pPr>
      <w:r w:rsidRPr="00872C2F">
        <w:rPr>
          <w:rFonts w:ascii="Arial" w:hAnsi="Arial" w:cs="Arial"/>
          <w:b/>
          <w:bCs/>
          <w:i/>
          <w:iCs/>
        </w:rPr>
        <w:t>Direktor:</w:t>
      </w:r>
    </w:p>
    <w:p w14:paraId="4FD51A6F" w14:textId="6CE30F36" w:rsidR="00872C2F" w:rsidRPr="00872C2F" w:rsidRDefault="00872C2F" w:rsidP="00872C2F">
      <w:pPr>
        <w:spacing w:after="0" w:line="240" w:lineRule="auto"/>
        <w:jc w:val="right"/>
        <w:rPr>
          <w:rFonts w:ascii="Arial" w:hAnsi="Arial" w:cs="Arial"/>
          <w:b/>
          <w:bCs/>
          <w:i/>
          <w:iCs/>
        </w:rPr>
      </w:pPr>
      <w:r w:rsidRPr="00872C2F">
        <w:rPr>
          <w:rFonts w:ascii="Arial" w:hAnsi="Arial" w:cs="Arial"/>
          <w:b/>
          <w:bCs/>
          <w:i/>
          <w:iCs/>
        </w:rPr>
        <w:t xml:space="preserve">Mario Komšić, </w:t>
      </w:r>
      <w:proofErr w:type="spellStart"/>
      <w:r w:rsidRPr="00872C2F">
        <w:rPr>
          <w:rFonts w:ascii="Arial" w:hAnsi="Arial" w:cs="Arial"/>
          <w:b/>
          <w:bCs/>
          <w:i/>
          <w:iCs/>
        </w:rPr>
        <w:t>dipl.oec</w:t>
      </w:r>
      <w:proofErr w:type="spellEnd"/>
      <w:r w:rsidRPr="00872C2F">
        <w:rPr>
          <w:rFonts w:ascii="Arial" w:hAnsi="Arial" w:cs="Arial"/>
          <w:b/>
          <w:bCs/>
          <w:i/>
          <w:iCs/>
        </w:rPr>
        <w:t>.</w:t>
      </w:r>
    </w:p>
    <w:sectPr w:rsidR="00872C2F" w:rsidRPr="00872C2F" w:rsidSect="00A34133">
      <w:head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851D9A" w14:textId="77777777" w:rsidR="00E7601C" w:rsidRDefault="00E7601C" w:rsidP="00E96086">
      <w:pPr>
        <w:spacing w:after="0" w:line="240" w:lineRule="auto"/>
      </w:pPr>
      <w:r>
        <w:separator/>
      </w:r>
    </w:p>
  </w:endnote>
  <w:endnote w:type="continuationSeparator" w:id="0">
    <w:p w14:paraId="25DA96A8" w14:textId="77777777" w:rsidR="00E7601C" w:rsidRDefault="00E7601C" w:rsidP="00E96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44E38C" w14:textId="77777777" w:rsidR="00E7601C" w:rsidRDefault="00E7601C" w:rsidP="00E96086">
      <w:pPr>
        <w:spacing w:after="0" w:line="240" w:lineRule="auto"/>
      </w:pPr>
      <w:r>
        <w:separator/>
      </w:r>
    </w:p>
  </w:footnote>
  <w:footnote w:type="continuationSeparator" w:id="0">
    <w:p w14:paraId="2AE0C6CA" w14:textId="77777777" w:rsidR="00E7601C" w:rsidRDefault="00E7601C" w:rsidP="00E96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3360C" w14:textId="77777777" w:rsidR="00345541" w:rsidRPr="00E96086" w:rsidRDefault="00345541" w:rsidP="00345541">
    <w:pPr>
      <w:pStyle w:val="Header"/>
      <w:jc w:val="center"/>
      <w:rPr>
        <w:rFonts w:ascii="Arial" w:hAnsi="Arial" w:cs="Arial"/>
        <w:sz w:val="18"/>
        <w:szCs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0986"/>
    <w:rsid w:val="00053D88"/>
    <w:rsid w:val="00063710"/>
    <w:rsid w:val="000A350D"/>
    <w:rsid w:val="001907B5"/>
    <w:rsid w:val="002E549F"/>
    <w:rsid w:val="00345541"/>
    <w:rsid w:val="003D41E4"/>
    <w:rsid w:val="00487095"/>
    <w:rsid w:val="004B384B"/>
    <w:rsid w:val="00504138"/>
    <w:rsid w:val="005879FB"/>
    <w:rsid w:val="005B0986"/>
    <w:rsid w:val="006056E5"/>
    <w:rsid w:val="0068269E"/>
    <w:rsid w:val="00710D22"/>
    <w:rsid w:val="00861A01"/>
    <w:rsid w:val="00872C2F"/>
    <w:rsid w:val="00A11C10"/>
    <w:rsid w:val="00A34133"/>
    <w:rsid w:val="00AA08E4"/>
    <w:rsid w:val="00B85C09"/>
    <w:rsid w:val="00D427D8"/>
    <w:rsid w:val="00E738EC"/>
    <w:rsid w:val="00E7601C"/>
    <w:rsid w:val="00E96086"/>
    <w:rsid w:val="00EC347B"/>
    <w:rsid w:val="00F742DA"/>
    <w:rsid w:val="00FF0B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B8569"/>
  <w15:docId w15:val="{3ECF4878-E804-434F-A335-27BF1249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Batang" w:hAnsiTheme="minorHAnsi" w:cstheme="minorBidi"/>
        <w:sz w:val="22"/>
        <w:szCs w:val="22"/>
        <w:lang w:val="hr-HR" w:eastAsia="ko-K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0986"/>
    <w:rPr>
      <w:rFonts w:eastAsiaTheme="minorEastAsia"/>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qFormat/>
    <w:rsid w:val="005B0986"/>
    <w:rPr>
      <w:rFonts w:ascii="Calibri" w:eastAsia="Calibri" w:hAnsi="Calibri" w:cs="Times New Roman"/>
      <w:b/>
      <w:bCs/>
      <w:sz w:val="20"/>
      <w:szCs w:val="20"/>
      <w:lang w:eastAsia="en-US"/>
    </w:rPr>
  </w:style>
  <w:style w:type="paragraph" w:styleId="Header">
    <w:name w:val="header"/>
    <w:basedOn w:val="Normal"/>
    <w:link w:val="HeaderChar"/>
    <w:uiPriority w:val="99"/>
    <w:unhideWhenUsed/>
    <w:rsid w:val="00E9608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6086"/>
    <w:rPr>
      <w:rFonts w:eastAsiaTheme="minorEastAsia"/>
      <w:lang w:eastAsia="zh-CN"/>
    </w:rPr>
  </w:style>
  <w:style w:type="paragraph" w:styleId="Footer">
    <w:name w:val="footer"/>
    <w:basedOn w:val="Normal"/>
    <w:link w:val="FooterChar"/>
    <w:uiPriority w:val="99"/>
    <w:unhideWhenUsed/>
    <w:rsid w:val="00E9608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6086"/>
    <w:rPr>
      <w:rFonts w:eastAsiaTheme="minorEastAsia"/>
      <w:lang w:eastAsia="zh-CN"/>
    </w:rPr>
  </w:style>
  <w:style w:type="character" w:styleId="Hyperlink">
    <w:name w:val="Hyperlink"/>
    <w:basedOn w:val="DefaultParagraphFont"/>
    <w:uiPriority w:val="99"/>
    <w:unhideWhenUsed/>
    <w:rsid w:val="00872C2F"/>
    <w:rPr>
      <w:color w:val="0000FF" w:themeColor="hyperlink"/>
      <w:u w:val="single"/>
    </w:rPr>
  </w:style>
  <w:style w:type="character" w:styleId="UnresolvedMention">
    <w:name w:val="Unresolved Mention"/>
    <w:basedOn w:val="DefaultParagraphFont"/>
    <w:uiPriority w:val="99"/>
    <w:semiHidden/>
    <w:unhideWhenUsed/>
    <w:rsid w:val="00872C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vvk.hr/e-savjetovanje/"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469</Words>
  <Characters>2674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VVK1 VVK</cp:lastModifiedBy>
  <cp:revision>9</cp:revision>
  <cp:lastPrinted>2022-12-19T07:16:00Z</cp:lastPrinted>
  <dcterms:created xsi:type="dcterms:W3CDTF">2022-12-16T12:44:00Z</dcterms:created>
  <dcterms:modified xsi:type="dcterms:W3CDTF">2022-12-19T08:02:00Z</dcterms:modified>
</cp:coreProperties>
</file>