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792E" w14:textId="77777777" w:rsidR="006E5B9B" w:rsidRDefault="006E5B9B" w:rsidP="006E5B9B">
      <w:pPr>
        <w:jc w:val="right"/>
        <w:rPr>
          <w:b/>
          <w:kern w:val="32"/>
        </w:rPr>
      </w:pPr>
      <w:r>
        <w:rPr>
          <w:b/>
        </w:rPr>
        <w:t>PRILOG 2.b</w:t>
      </w:r>
    </w:p>
    <w:p w14:paraId="7844BBDD" w14:textId="5F5F47EB" w:rsidR="006E5B9B" w:rsidRPr="00AA0A6F" w:rsidRDefault="006E5B9B" w:rsidP="006E5B9B">
      <w:pPr>
        <w:jc w:val="both"/>
        <w:rPr>
          <w:b/>
          <w:u w:val="single"/>
        </w:rPr>
      </w:pPr>
      <w:r>
        <w:rPr>
          <w:b/>
          <w:kern w:val="32"/>
        </w:rPr>
        <w:t xml:space="preserve">Obveznik </w:t>
      </w:r>
      <w:r w:rsidRPr="00AA0A6F">
        <w:rPr>
          <w:b/>
          <w:kern w:val="32"/>
          <w:u w:val="single"/>
        </w:rPr>
        <w:t>_</w:t>
      </w:r>
      <w:r w:rsidR="00AA0A6F" w:rsidRPr="00AA0A6F">
        <w:rPr>
          <w:b/>
          <w:kern w:val="32"/>
          <w:u w:val="single"/>
        </w:rPr>
        <w:t>VINKOVAČKI VODOVOD I KANALIZACIJA d.o.o.</w:t>
      </w:r>
      <w:r w:rsidRPr="00AA0A6F">
        <w:rPr>
          <w:b/>
          <w:kern w:val="32"/>
          <w:u w:val="single"/>
        </w:rPr>
        <w:t xml:space="preserve"> </w:t>
      </w:r>
    </w:p>
    <w:p w14:paraId="7FE80B89" w14:textId="77777777" w:rsidR="006E5B9B" w:rsidRDefault="006E5B9B" w:rsidP="006E5B9B">
      <w:pPr>
        <w:jc w:val="center"/>
        <w:rPr>
          <w:b/>
        </w:rPr>
      </w:pPr>
    </w:p>
    <w:p w14:paraId="040F8986" w14:textId="5A90FCCB" w:rsidR="006E5B9B" w:rsidRDefault="006E5B9B" w:rsidP="006E5B9B">
      <w:pPr>
        <w:jc w:val="center"/>
        <w:rPr>
          <w:b/>
        </w:rPr>
      </w:pPr>
      <w:r>
        <w:rPr>
          <w:b/>
        </w:rPr>
        <w:t xml:space="preserve">UPITNIK O FISKALNOJ ODGOVORNOSTI ZA TRGOVAČKA DRUŠTVA I DRUGE PRAVNE OSOBE UTVRĐENE U REGISTRU TRGOVAČKIH DRUŠTAVA I DRUGIH PRAVNIH OSOBA OBVEZNIKA DAVANJA IZJAVE O FISKALNOJ ODGOVORNOSTI ZA </w:t>
      </w:r>
      <w:r w:rsidR="00AA0A6F" w:rsidRPr="00AA0A6F">
        <w:rPr>
          <w:b/>
          <w:u w:val="single"/>
        </w:rPr>
        <w:t>2020.</w:t>
      </w:r>
      <w:r>
        <w:rPr>
          <w:b/>
        </w:rPr>
        <w:t xml:space="preserve"> GODINU</w:t>
      </w:r>
    </w:p>
    <w:tbl>
      <w:tblPr>
        <w:tblW w:w="13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756"/>
        <w:gridCol w:w="560"/>
        <w:gridCol w:w="505"/>
        <w:gridCol w:w="639"/>
        <w:gridCol w:w="5019"/>
      </w:tblGrid>
      <w:tr w:rsidR="006E5B9B" w14:paraId="214E7FB7" w14:textId="77777777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1B8BCE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2CF4B88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591773F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9899BB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6E5B9B" w14:paraId="33597A6C" w14:textId="77777777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4EB8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CE5F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A7F113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D82238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A5A0A6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E622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14:paraId="291F86C4" w14:textId="77777777" w:rsidTr="00B16BA4">
        <w:trPr>
          <w:trHeight w:val="374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536F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PLANIRANJE</w:t>
            </w:r>
          </w:p>
        </w:tc>
      </w:tr>
      <w:tr w:rsidR="006E5B9B" w14:paraId="2BAD83FF" w14:textId="77777777" w:rsidTr="00157AE6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E4F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E64A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srednjoročni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77E92" w14:textId="70CF625D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912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CD5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CCE" w14:textId="5C30936F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0C534376" w14:textId="77777777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D9C7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380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godišnji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0694FBD" w14:textId="5EFD7C33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324C32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460740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DB4" w14:textId="7777777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9D3C427" w14:textId="77777777" w:rsidTr="00157AE6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BD1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F02D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plan poslovanja sadrži ključne stavke godišnjeg financijskog plana poslovanja:</w:t>
            </w:r>
          </w:p>
          <w:p w14:paraId="33ABB980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plansku bilancu</w:t>
            </w:r>
          </w:p>
          <w:p w14:paraId="5DF84475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računa dobiti i gubitka</w:t>
            </w:r>
          </w:p>
          <w:p w14:paraId="186717FE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novčanog toka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03CCC" w14:textId="3D929874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298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C4FC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6CF" w14:textId="4E950016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5975F0EB" w14:textId="77777777" w:rsidTr="00157AE6">
        <w:trPr>
          <w:trHeight w:val="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90E0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A756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Godišnjim planom poslovanja utvrđeni su ključni sektorski (industrijski) pokazatelji poslovanja (KPI) i naturalni pokazatelji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F800F" w14:textId="3BEF7182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095E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4236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CE5" w14:textId="45312203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516DBF58" w14:textId="77777777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5E8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3BA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program rada i financijski plan za njegovu provedbu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koje posluju u skladu sa Zakonom o financijskom poslovanju i računovodstvu neprofitnih organizacija)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0EA598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97930F1" w14:textId="6BE25A1F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9574E1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EAD" w14:textId="39E6EAD3" w:rsidR="00157AE6" w:rsidRDefault="00CB18F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hyperlink r:id="rId8" w:history="1">
              <w:r w:rsidR="00157AE6" w:rsidRPr="000263DB">
                <w:rPr>
                  <w:rStyle w:val="Hiperveza"/>
                  <w:rFonts w:ascii="Arial" w:hAnsi="Arial" w:cs="Arial"/>
                  <w:sz w:val="20"/>
                  <w:szCs w:val="20"/>
                  <w:lang w:eastAsia="en-US"/>
                </w:rPr>
                <w:t>https://www.vvk.hr/images/godisnje_izvjesce/Plan%20</w:t>
              </w:r>
            </w:hyperlink>
          </w:p>
          <w:p w14:paraId="155AA4B7" w14:textId="4E52077D" w:rsidR="006E5B9B" w:rsidRDefault="00157AE6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poslovanja%202021..pdf</w:t>
            </w:r>
          </w:p>
        </w:tc>
      </w:tr>
      <w:tr w:rsidR="006E5B9B" w14:paraId="72782F2E" w14:textId="77777777" w:rsidTr="00157AE6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7C0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989E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program rada, između ostaloga, sadrži:</w:t>
            </w:r>
          </w:p>
          <w:p w14:paraId="6627C647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osnovne ciljeve za godinu na koju se odnosi</w:t>
            </w:r>
          </w:p>
          <w:p w14:paraId="1EEE8CAD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aktivnosti i projekte koji se provode radi ostvarenja postavljenih ciljeva</w:t>
            </w:r>
          </w:p>
          <w:p w14:paraId="40979E7E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resurse potrebne za ostvarivanje planiranih ciljeva (ljudske i financijske)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812D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80F2F" w14:textId="65A8458E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B5DA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1AB" w14:textId="1139B1CE" w:rsidR="00157AE6" w:rsidRDefault="00CB18F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hyperlink r:id="rId9" w:history="1">
              <w:r w:rsidR="00157AE6" w:rsidRPr="000263DB">
                <w:rPr>
                  <w:rStyle w:val="Hiperveza"/>
                  <w:rFonts w:ascii="Arial" w:hAnsi="Arial" w:cs="Arial"/>
                  <w:sz w:val="20"/>
                  <w:szCs w:val="20"/>
                  <w:lang w:eastAsia="en-US"/>
                </w:rPr>
                <w:t>https://www.vvk.hr/images/godisnje_izvjesce/Plan%20</w:t>
              </w:r>
            </w:hyperlink>
          </w:p>
          <w:p w14:paraId="1965D3B9" w14:textId="42907ECF" w:rsidR="006E5B9B" w:rsidRDefault="00157AE6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poslovanja%202021..pdf</w:t>
            </w:r>
          </w:p>
        </w:tc>
      </w:tr>
      <w:tr w:rsidR="006E5B9B" w14:paraId="5E73F9AA" w14:textId="77777777" w:rsidTr="00157AE6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6E2C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023A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Financijski plan se sastoji od:</w:t>
            </w:r>
          </w:p>
          <w:p w14:paraId="098D304F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prihoda i rashoda</w:t>
            </w:r>
          </w:p>
          <w:p w14:paraId="0882F3E2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zaduživanja i otplata</w:t>
            </w:r>
          </w:p>
          <w:p w14:paraId="22D2ECE3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obrazloženja financijskog plana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6746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BF573" w14:textId="038140D1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3FD7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54D" w14:textId="35691458" w:rsidR="00157AE6" w:rsidRDefault="00CB18F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hyperlink r:id="rId10" w:history="1">
              <w:r w:rsidR="00157AE6" w:rsidRPr="000263DB">
                <w:rPr>
                  <w:rStyle w:val="Hiperveza"/>
                  <w:rFonts w:ascii="Arial" w:hAnsi="Arial" w:cs="Arial"/>
                  <w:sz w:val="20"/>
                  <w:szCs w:val="20"/>
                  <w:lang w:eastAsia="en-US"/>
                </w:rPr>
                <w:t>https://www.vvk.hr/images/godisnje_izvjesce/Plan%20</w:t>
              </w:r>
            </w:hyperlink>
          </w:p>
          <w:p w14:paraId="245EA887" w14:textId="39B22914" w:rsidR="006E5B9B" w:rsidRDefault="00157AE6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poslovanja%202021..pdf</w:t>
            </w:r>
          </w:p>
        </w:tc>
      </w:tr>
      <w:tr w:rsidR="006E5B9B" w14:paraId="4298D016" w14:textId="77777777" w:rsidTr="00157AE6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DD88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ABB5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plan poslovanja, odnosno godišnji program rada i financijski plan, za tekuću godinu donesen je do 31. prosinca prethodne godine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2D1CB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369C8" w14:textId="6DA2087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DD43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C92" w14:textId="5FB219B8" w:rsidR="00157AE6" w:rsidRDefault="00CB18F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hyperlink r:id="rId11" w:history="1">
              <w:r w:rsidR="00157AE6" w:rsidRPr="000263DB">
                <w:rPr>
                  <w:rStyle w:val="Hiperveza"/>
                  <w:rFonts w:ascii="Arial" w:hAnsi="Arial" w:cs="Arial"/>
                  <w:sz w:val="20"/>
                  <w:szCs w:val="20"/>
                  <w:lang w:eastAsia="en-US"/>
                </w:rPr>
                <w:t>https://www.vvk.hr/images/godisnje_izvjesce/Plan%20</w:t>
              </w:r>
            </w:hyperlink>
          </w:p>
          <w:p w14:paraId="5DF2B1B8" w14:textId="1352DB35" w:rsidR="006E5B9B" w:rsidRDefault="00157AE6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poslovanja%202021..pdf</w:t>
            </w:r>
          </w:p>
        </w:tc>
      </w:tr>
      <w:tr w:rsidR="006E5B9B" w14:paraId="7B9361C4" w14:textId="77777777" w:rsidTr="00157AE6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B99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796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plan ulaganja u dugotrajnu imovinu (plan investicija), kao zaseban dokument ili sastavni dio godišnjeg plana poslovanja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i pravne osobe koje posluju u skladu sa Zakonom o računovodstvu)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840A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4DAE7" w14:textId="10A03871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E850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0B0" w14:textId="06F1182D" w:rsidR="00157AE6" w:rsidRDefault="00CB18F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hyperlink r:id="rId12" w:history="1">
              <w:r w:rsidR="00157AE6" w:rsidRPr="000263DB">
                <w:rPr>
                  <w:rStyle w:val="Hiperveza"/>
                  <w:rFonts w:ascii="Arial" w:hAnsi="Arial" w:cs="Arial"/>
                  <w:sz w:val="20"/>
                  <w:szCs w:val="20"/>
                  <w:lang w:eastAsia="en-US"/>
                </w:rPr>
                <w:t>https://www.vvk.hr/images/godisnje_izvjesce/Plan%20</w:t>
              </w:r>
            </w:hyperlink>
          </w:p>
          <w:p w14:paraId="70C2C884" w14:textId="100B9444" w:rsidR="006E5B9B" w:rsidRDefault="00157AE6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poslovanja%202021..pdf</w:t>
            </w:r>
          </w:p>
        </w:tc>
      </w:tr>
    </w:tbl>
    <w:p w14:paraId="601A991B" w14:textId="77777777"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14:paraId="77709937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14:paraId="35B2CF36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14:paraId="27C42AC1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14:paraId="2BA8E350" w14:textId="77777777" w:rsidR="006E5B9B" w:rsidRPr="005B4DD2" w:rsidRDefault="006E5B9B" w:rsidP="006E5B9B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14:paraId="09254C8E" w14:textId="77777777" w:rsidR="006E5B9B" w:rsidRDefault="006E5B9B" w:rsidP="006E5B9B">
      <w:pPr>
        <w:jc w:val="center"/>
        <w:rPr>
          <w:b/>
        </w:rPr>
      </w:pPr>
    </w:p>
    <w:p w14:paraId="76F6AAEA" w14:textId="77777777" w:rsidR="006E5B9B" w:rsidRDefault="006E5B9B" w:rsidP="006E5B9B">
      <w:pPr>
        <w:rPr>
          <w:sz w:val="20"/>
          <w:szCs w:val="20"/>
        </w:rPr>
      </w:pPr>
    </w:p>
    <w:p w14:paraId="7007D036" w14:textId="77777777" w:rsidR="006E5B9B" w:rsidRDefault="006E5B9B" w:rsidP="006E5B9B">
      <w:pPr>
        <w:rPr>
          <w:sz w:val="20"/>
          <w:szCs w:val="20"/>
        </w:rPr>
      </w:pPr>
    </w:p>
    <w:p w14:paraId="76CB9589" w14:textId="77777777" w:rsidR="006E5B9B" w:rsidRDefault="006E5B9B" w:rsidP="006E5B9B">
      <w:pPr>
        <w:rPr>
          <w:sz w:val="20"/>
          <w:szCs w:val="20"/>
        </w:rPr>
      </w:pPr>
    </w:p>
    <w:p w14:paraId="7B349497" w14:textId="77777777" w:rsidR="006E5B9B" w:rsidRDefault="006E5B9B" w:rsidP="006E5B9B">
      <w:pPr>
        <w:rPr>
          <w:sz w:val="20"/>
          <w:szCs w:val="20"/>
        </w:rPr>
      </w:pPr>
    </w:p>
    <w:p w14:paraId="2B354D62" w14:textId="77777777" w:rsidR="006E5B9B" w:rsidRDefault="006E5B9B" w:rsidP="006E5B9B">
      <w:pPr>
        <w:rPr>
          <w:sz w:val="20"/>
          <w:szCs w:val="20"/>
        </w:rPr>
      </w:pPr>
    </w:p>
    <w:p w14:paraId="36E66B10" w14:textId="77777777" w:rsidR="006E5B9B" w:rsidRDefault="006E5B9B" w:rsidP="006E5B9B">
      <w:pPr>
        <w:rPr>
          <w:sz w:val="20"/>
          <w:szCs w:val="20"/>
        </w:rPr>
      </w:pPr>
    </w:p>
    <w:p w14:paraId="40A62313" w14:textId="77777777" w:rsidR="006E5B9B" w:rsidRDefault="006E5B9B" w:rsidP="006E5B9B">
      <w:pPr>
        <w:rPr>
          <w:sz w:val="20"/>
          <w:szCs w:val="20"/>
        </w:rPr>
      </w:pPr>
    </w:p>
    <w:p w14:paraId="409C56B6" w14:textId="77777777" w:rsidR="006E5B9B" w:rsidRDefault="006E5B9B" w:rsidP="006E5B9B">
      <w:pPr>
        <w:rPr>
          <w:sz w:val="20"/>
          <w:szCs w:val="20"/>
        </w:rPr>
      </w:pPr>
    </w:p>
    <w:p w14:paraId="48B7508B" w14:textId="77777777" w:rsidR="006E5B9B" w:rsidRDefault="006E5B9B" w:rsidP="006E5B9B">
      <w:pPr>
        <w:rPr>
          <w:sz w:val="20"/>
          <w:szCs w:val="20"/>
        </w:rPr>
      </w:pPr>
    </w:p>
    <w:p w14:paraId="3B99C8D3" w14:textId="77777777" w:rsidR="006E5B9B" w:rsidRDefault="006E5B9B" w:rsidP="006E5B9B">
      <w:pPr>
        <w:rPr>
          <w:sz w:val="20"/>
          <w:szCs w:val="20"/>
        </w:rPr>
      </w:pPr>
    </w:p>
    <w:p w14:paraId="15BA28D0" w14:textId="77777777" w:rsidR="006E5B9B" w:rsidRDefault="006E5B9B" w:rsidP="006E5B9B">
      <w:pPr>
        <w:rPr>
          <w:sz w:val="20"/>
          <w:szCs w:val="20"/>
        </w:rPr>
      </w:pPr>
    </w:p>
    <w:p w14:paraId="21BC6518" w14:textId="77777777" w:rsidR="006E5B9B" w:rsidRDefault="006E5B9B" w:rsidP="006E5B9B">
      <w:pPr>
        <w:rPr>
          <w:sz w:val="20"/>
          <w:szCs w:val="20"/>
        </w:rPr>
      </w:pPr>
    </w:p>
    <w:p w14:paraId="537EFFAB" w14:textId="77777777" w:rsidR="006E5B9B" w:rsidRDefault="006E5B9B" w:rsidP="006E5B9B">
      <w:pPr>
        <w:rPr>
          <w:sz w:val="20"/>
          <w:szCs w:val="20"/>
        </w:rPr>
      </w:pPr>
    </w:p>
    <w:p w14:paraId="4A231491" w14:textId="77777777" w:rsidR="006E5B9B" w:rsidRDefault="006E5B9B" w:rsidP="006E5B9B">
      <w:pPr>
        <w:rPr>
          <w:sz w:val="20"/>
          <w:szCs w:val="20"/>
        </w:rPr>
      </w:pPr>
    </w:p>
    <w:p w14:paraId="3ED8E986" w14:textId="77777777" w:rsidR="006E5B9B" w:rsidRDefault="006E5B9B" w:rsidP="006E5B9B">
      <w:pPr>
        <w:rPr>
          <w:sz w:val="20"/>
          <w:szCs w:val="20"/>
        </w:rPr>
      </w:pPr>
    </w:p>
    <w:p w14:paraId="22839445" w14:textId="77777777" w:rsidR="006E5B9B" w:rsidRDefault="006E5B9B" w:rsidP="006E5B9B">
      <w:pPr>
        <w:rPr>
          <w:sz w:val="20"/>
          <w:szCs w:val="20"/>
        </w:rPr>
      </w:pPr>
    </w:p>
    <w:p w14:paraId="2CDBE5B2" w14:textId="77777777" w:rsidR="006E5B9B" w:rsidRDefault="006E5B9B" w:rsidP="006E5B9B">
      <w:pPr>
        <w:rPr>
          <w:sz w:val="20"/>
          <w:szCs w:val="20"/>
        </w:rPr>
      </w:pPr>
    </w:p>
    <w:p w14:paraId="0B07B436" w14:textId="77777777" w:rsidR="006E5B9B" w:rsidRDefault="006E5B9B" w:rsidP="006E5B9B">
      <w:pPr>
        <w:rPr>
          <w:sz w:val="20"/>
          <w:szCs w:val="20"/>
        </w:rPr>
      </w:pPr>
    </w:p>
    <w:p w14:paraId="4199273A" w14:textId="77777777" w:rsidR="006E5B9B" w:rsidRDefault="006E5B9B" w:rsidP="006E5B9B">
      <w:pPr>
        <w:rPr>
          <w:sz w:val="20"/>
          <w:szCs w:val="20"/>
        </w:rPr>
      </w:pPr>
    </w:p>
    <w:p w14:paraId="2B82AAF9" w14:textId="77777777" w:rsidR="006E5B9B" w:rsidRDefault="006E5B9B" w:rsidP="006E5B9B">
      <w:pPr>
        <w:rPr>
          <w:sz w:val="20"/>
          <w:szCs w:val="20"/>
        </w:rPr>
      </w:pPr>
    </w:p>
    <w:p w14:paraId="4EE5D033" w14:textId="77777777" w:rsidR="006E5B9B" w:rsidRDefault="006E5B9B" w:rsidP="006E5B9B">
      <w:pPr>
        <w:rPr>
          <w:sz w:val="20"/>
          <w:szCs w:val="20"/>
        </w:rPr>
      </w:pPr>
    </w:p>
    <w:p w14:paraId="617101C7" w14:textId="77777777" w:rsidR="006E5B9B" w:rsidRDefault="006E5B9B" w:rsidP="006E5B9B">
      <w:pPr>
        <w:rPr>
          <w:sz w:val="20"/>
          <w:szCs w:val="20"/>
        </w:rPr>
      </w:pPr>
    </w:p>
    <w:p w14:paraId="475E138C" w14:textId="77777777" w:rsidR="006E5B9B" w:rsidRDefault="006E5B9B" w:rsidP="006E5B9B">
      <w:pPr>
        <w:rPr>
          <w:sz w:val="20"/>
          <w:szCs w:val="20"/>
        </w:rPr>
      </w:pPr>
    </w:p>
    <w:tbl>
      <w:tblPr>
        <w:tblW w:w="13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1"/>
      </w:tblGrid>
      <w:tr w:rsidR="006E5B9B" w14:paraId="24C1B57A" w14:textId="77777777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20BD0B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6015160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9B8574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5B61BF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6E5B9B" w14:paraId="776A03A8" w14:textId="77777777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E209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4F81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25F8B5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4C30083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F76360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8AC4626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E557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14:paraId="66A81D05" w14:textId="77777777" w:rsidTr="00B16BA4">
        <w:trPr>
          <w:trHeight w:val="431"/>
        </w:trPr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480E" w14:textId="77777777"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IZVRŠAVANJE </w:t>
            </w:r>
          </w:p>
        </w:tc>
      </w:tr>
      <w:tr w:rsidR="006E5B9B" w14:paraId="29298FB6" w14:textId="77777777" w:rsidTr="00C1725D">
        <w:trPr>
          <w:trHeight w:val="102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442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EE5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62EAFE8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Poduzete su sve potrebne mjere za potpunu naplatu prihoda iz poslovnih aktivnosti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1F338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83FCC" w14:textId="2CD9DB89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43DB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6FB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DD1" w14:textId="62BC7FBE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A6C8680" w14:textId="77777777" w:rsidTr="00C1725D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093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637E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Isplata sredstava temeljila se na vjerodostojnoj dokumentaciji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7E8A74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24807" w14:textId="3CC7DE07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1FDB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73F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E17" w14:textId="747D8718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5F3DE8BD" w14:textId="77777777" w:rsidTr="00C1725D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0B6F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F83E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isplate sredstava neprofitnoj organizaciji sklopljen je ugovor u kojem su definirana prava i obveze neprofitne organizacije i isplatitelja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417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204AB" w14:textId="5A9D826A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9BB7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5F3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6B7" w14:textId="0EB4AA38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78878210" w14:textId="77777777" w:rsidTr="00C1725D">
        <w:trPr>
          <w:trHeight w:val="53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87D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2CF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Pratilo se i kontroliralo namjensko isplaćivanje donacija i sponzorstava do krajnjeg korisnika te korištenje istih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F3D2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A566A" w14:textId="67A10E79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1F86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3D5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98" w14:textId="43F2DB9E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2D69C294" w14:textId="77777777" w:rsidTr="00C1725D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A0C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49E8" w14:textId="77777777"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Obveze prema dobavljačima su podmirivane u rokovima njihova dospijeća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13126C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A130F" w14:textId="09D0D702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A141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C66A" w14:textId="2BD51489" w:rsidR="006E5B9B" w:rsidRDefault="006E250C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C1C" w14:textId="56E01BDB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71FF97CD" w14:textId="77777777" w:rsidTr="00B16BA4">
        <w:trPr>
          <w:trHeight w:val="6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6A8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0D1" w14:textId="77777777"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Plaće i druga primanja predsjednika i članova uprave isplaćivale su se u skladu s Odlukom o utvrđivanju plaća i drugih primanja predsjednika i članova uprava trgovačkih društava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1583F" w14:textId="7C2B86A8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35D2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A5D9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465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70D0" w14:textId="4CE5B90D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6DE331F" w14:textId="77777777" w:rsidTr="00C1725D">
        <w:trPr>
          <w:trHeight w:val="4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F952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A302" w14:textId="77777777"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Sredstva kapitalnih potpora korištena su za predviđene namjene sukladno ugovoru s davateljem potpore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5E7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D3CC" w14:textId="470DDE8C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A076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B19D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181" w14:textId="6E998A21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5F94EEE8" w14:textId="77777777" w:rsidTr="00C1725D">
        <w:trPr>
          <w:trHeight w:val="8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FD4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46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87BA3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Prilikom isporuke opreme/izvođenja radova obavljene su sve potrebne provjere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FFEB22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067A63" w14:textId="7A1F74A0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891DC3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EB90E6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881" w14:textId="13551192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C651D74" w14:textId="77777777" w:rsidTr="00C1725D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E368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F93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način utvrđen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E181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F8525" w14:textId="4B0CF88B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C54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A00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D68" w14:textId="418FD200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C810F77" w14:textId="77777777" w:rsidTr="00C1725D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7A97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B252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vremenskim rokovima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EB72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511F5" w14:textId="4BA7C4D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EDD2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632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9A2" w14:textId="45781A2C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0A463BB6" w14:textId="77777777" w:rsidTr="00C1725D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B2C7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6C63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zahtjevima količine i kvalitete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8D58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555EC" w14:textId="7E37257F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DEE2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9A4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12E" w14:textId="2B90F176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654D019" w14:textId="77777777" w:rsidTr="00C1725D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58D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BC0C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lokacijama koje su navedene u ugovoru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9072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53BFD" w14:textId="24A67E9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2F4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2875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EA8" w14:textId="728C0FC9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58EA34F3" w14:textId="77777777" w:rsidTr="00C1725D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2A5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54F3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prema opisu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8C62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73BEF" w14:textId="2253074D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3114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A6EE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1C0" w14:textId="02467CA6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9168C57" w14:textId="77777777" w:rsidTr="00C1725D">
        <w:trPr>
          <w:trHeight w:val="44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42F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EA45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sukladno nacrtima, analizama, modelima, uzorcima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A474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9CC6" w14:textId="664BE16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44F4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2B14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A78" w14:textId="65288BB3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4DC6FAD4" w14:textId="77777777" w:rsidTr="00C1725D">
        <w:trPr>
          <w:trHeight w:val="3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AAE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AD86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instalirana i u upotrebi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4B15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43146" w14:textId="0812EA63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2F5A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4D2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00F" w14:textId="5F842FFD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0F9DD76F" w14:textId="77777777" w:rsidTr="00C1725D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668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A515" w14:textId="7777777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dugoročnog zaduživanja za investiciju dobivena je suglasnost većinskog vlasnika, odnosno osnivača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pravne osobe u većinskom vlasništvu ili suvlasništvu jedinice lokalne i područne (regionalne) samouprave i ustanove čiji je osnivač jedinica lokalne i područne (regionalne) samouprave)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7C2E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D4BE5" w14:textId="6EDBD1C5" w:rsidR="006E5B9B" w:rsidRDefault="00823AA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75B9" w14:textId="020B6C2E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F27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1BF8" w14:textId="6D31E535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B7344B6" w14:textId="77777777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64D0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4ED7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Ugovori o kreditu, ugovori o primljenom zajmu ili dana jamstva vrijednosti iznad iznosa od 7.500.000,00 kuna sklapani su, odnosno dani na osnovi odluke o suglasnosti Vlade Republike Hrvatske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u većinskom vlasništvu ili suvlasništvu Republike Hrvatske)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34853" w14:textId="6F4F515D" w:rsidR="006E5B9B" w:rsidRDefault="00DB6FC4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A772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A518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59E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01BB" w14:textId="32ADB42C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</w:tbl>
    <w:p w14:paraId="401FFBE5" w14:textId="77777777"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14:paraId="260F4ABF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14:paraId="33B350F6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14:paraId="0135C377" w14:textId="77777777" w:rsidR="006E5B9B" w:rsidRDefault="006E5B9B" w:rsidP="006E5B9B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14:paraId="06985465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14:paraId="1CEA67F5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</w:p>
    <w:p w14:paraId="67A2E8FE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</w:p>
    <w:p w14:paraId="6FD141A8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</w:p>
    <w:p w14:paraId="49D0C969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</w:p>
    <w:p w14:paraId="69CB92E4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</w:p>
    <w:p w14:paraId="41CF1530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</w:p>
    <w:p w14:paraId="406C9C8B" w14:textId="77777777" w:rsidR="006E5B9B" w:rsidRDefault="006E5B9B" w:rsidP="006E5B9B">
      <w:pPr>
        <w:rPr>
          <w:rFonts w:ascii="Arial" w:hAnsi="Arial" w:cs="Arial"/>
          <w:sz w:val="20"/>
          <w:szCs w:val="20"/>
        </w:rPr>
        <w:sectPr w:rsidR="006E5B9B">
          <w:pgSz w:w="16838" w:h="11906" w:orient="landscape"/>
          <w:pgMar w:top="1418" w:right="1418" w:bottom="1418" w:left="1418" w:header="709" w:footer="709" w:gutter="0"/>
          <w:cols w:space="720"/>
        </w:sect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9"/>
      </w:tblGrid>
      <w:tr w:rsidR="006E5B9B" w14:paraId="0BDAB463" w14:textId="77777777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BE4CA0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C8E5E95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CF4669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CCDA2C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14:paraId="66533584" w14:textId="77777777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EABE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5E62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5398389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77DF82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C655AB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D159FC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02B8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14:paraId="6F48BD2A" w14:textId="77777777" w:rsidTr="00C1725D">
        <w:trPr>
          <w:trHeight w:val="509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FFA4" w14:textId="77777777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JAVNA NABAVA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5A1" w14:textId="2E331C77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466AC90" w14:textId="77777777" w:rsidTr="00C1725D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DFA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9089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zaključenim ugovorima o nabavama velike vrijednosti ugovoreni su instrumenti za osiguranje urednog ispunjenja ugovornih obveza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A7DC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8836D" w14:textId="50F15F7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6CCB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8FD7E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9C7" w14:textId="79D7BE98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CC41923" w14:textId="77777777" w:rsidTr="00C1725D">
        <w:trPr>
          <w:trHeight w:val="58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DEE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27F3D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Ugovori o javnoj nabavi zaključeni su u skladu s uvjetima određenim u dokumentaciji o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824E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C47F3" w14:textId="56E80350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0F83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E2B2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EE2" w14:textId="64B7C45A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2165D34" w14:textId="77777777" w:rsidTr="00C1725D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496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EC238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DE69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304D7" w14:textId="1DD3FEEA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DA6D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64DF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7A1" w14:textId="78F4A9B4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BE44D9D" w14:textId="77777777" w:rsidTr="00C1725D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252D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07F09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ugovore o javnoj nabavi koji su se tijekom njegova trajanja značajno izmijenili, proveden je novi postupak javne nabave u skladu s odredbama Zakona o javnoj nabavi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644F3" w14:textId="15738502" w:rsidR="006E5B9B" w:rsidRDefault="007B0788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FFF75" w14:textId="0BC25600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81BE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30BB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35A" w14:textId="5D1F45A4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7B20550B" w14:textId="77777777" w:rsidTr="00C1725D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325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0FC55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56D177B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i redovito ažuriran plan nabave koji je objavljen na mrežnim stranicama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A91E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9BBF" w14:textId="02A6C76E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AAC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8277D9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562" w14:textId="13BF8A1C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C910326" w14:textId="77777777" w:rsidTr="00B16BA4">
        <w:trPr>
          <w:trHeight w:val="9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7C0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2349F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Donesena je interna odluka kojom je imenovano stručno povjerenstvo za javnu nabavu koje je pripremalo i provodilo postupak javne nabave, a najmanje jedan član stručnog povjerenstva imao je važeći certifikat u području javne nabave u skladu s propisima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978F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1DD2A" w14:textId="533D7724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E7AD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B30C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622" w14:textId="7777777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F94C8E2" w14:textId="77777777" w:rsidTr="00B16BA4">
        <w:trPr>
          <w:trHeight w:val="78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98C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6B0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7677DB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Osobe koje prate provedbu ugovora različite su od osoba koje su bile članovi stručnog povjerenstva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0F60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C6DB3" w14:textId="7810720D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9341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E5F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4617" w14:textId="36220C5E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2C921FDB" w14:textId="77777777" w:rsidTr="00C1725D">
        <w:trPr>
          <w:trHeight w:val="7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487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23.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BAB4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2F565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F53D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4709" w14:textId="29F442A0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D54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7DFB05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9E9" w14:textId="534154D4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432E3E0A" w14:textId="77777777" w:rsidTr="00C1725D">
        <w:trPr>
          <w:trHeight w:val="8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D0B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3F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31. ožujka tijelu nadležnom za politiku javne nabave dostavljeno je statističko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B3C6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9430B" w14:textId="1AACCF2A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DA7A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CB4B2E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1C8" w14:textId="0C602B53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28967312" w14:textId="77777777" w:rsidTr="00B16BA4">
        <w:trPr>
          <w:trHeight w:val="6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CAF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5A1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akt kojim su uređena pitanja jednostavne nabave za nabavu robe i usluga, odnosno za nabavu radova na koje se ne primjenjuje Zakon o javnoj nabavi te je akt objavljen na mrežnim stranicama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01D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B4968" w14:textId="72944C55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BEC6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70817A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467" w14:textId="606ACE9D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</w:tbl>
    <w:p w14:paraId="2EC9303D" w14:textId="77777777"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14:paraId="774C5E90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14:paraId="47D4A250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14:paraId="4363B566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je provođenje postupaka javne nabave centralizirano, obveznik odgovara „NIJE PRIMJENJIVO – N/P“</w:t>
      </w:r>
    </w:p>
    <w:p w14:paraId="6332D7D4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14:paraId="308ECEB0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6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194"/>
        <w:gridCol w:w="560"/>
        <w:gridCol w:w="505"/>
        <w:gridCol w:w="567"/>
        <w:gridCol w:w="1659"/>
        <w:gridCol w:w="4361"/>
      </w:tblGrid>
      <w:tr w:rsidR="006E5B9B" w14:paraId="1D27EAA2" w14:textId="77777777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9BF446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F7266E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8A0D52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2DE7F2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14:paraId="4114F1D0" w14:textId="77777777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9C7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A15C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093DDC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196E914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5787B09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14C8C8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98F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14:paraId="637DD0D6" w14:textId="77777777" w:rsidTr="00B16BA4">
        <w:trPr>
          <w:trHeight w:val="450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A19C" w14:textId="77777777"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RAČUNOVODSTVO</w:t>
            </w:r>
          </w:p>
        </w:tc>
      </w:tr>
      <w:tr w:rsidR="006E5B9B" w14:paraId="2F8A6063" w14:textId="77777777" w:rsidTr="00C1725D">
        <w:trPr>
          <w:trHeight w:val="7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1828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28C6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BB0DC5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C103D" w14:textId="3E413D0F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7CD8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687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F88" w14:textId="7C855777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F49CDA4" w14:textId="77777777" w:rsidTr="00B16BA4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0707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199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C9A551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05DE" w14:textId="67D03CBE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5EFA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1FD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172" w14:textId="227968CB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C2D39C7" w14:textId="77777777" w:rsidTr="00C1725D">
        <w:trPr>
          <w:trHeight w:val="3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BD5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2F6B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Postoji izvještaj o obavljenoj usluzi,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B2C9F4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A6452" w14:textId="3AB72C20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7544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6A3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B0B" w14:textId="26B5F144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40906BFA" w14:textId="77777777" w:rsidTr="00C1725D">
        <w:trPr>
          <w:trHeight w:val="8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E7DC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35B3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izvedenim radovima postoji privremena, odnosno konačna obračunska situacija, koju odobrava osoba,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7CCAC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3C89D" w14:textId="20249F12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3F89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5871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27A" w14:textId="2CF5760D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4CF0D0C9" w14:textId="77777777" w:rsidTr="00C1725D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B1E7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F5AF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zaprimljenim računima navedeni su svi elementi računa u skladu sa zakonskim i podzakonskim propisima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6704AD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5356" w14:textId="37F7280B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8F90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A71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3C0" w14:textId="5FBE9AFA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7E8C260F" w14:textId="77777777" w:rsidTr="00B16BA4">
        <w:trPr>
          <w:trHeight w:val="7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862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640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Računi sadrže detaljnu specifikaciju roba/usluga/radova koje odgovaraju opisu i specifikaciji roba/usluga/radova definiranih narudžbenicom,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BD898B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2809A" w14:textId="1FC7F1CF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C450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D00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A38" w14:textId="2E4C42E3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597E222E" w14:textId="77777777" w:rsidTr="00B16BA4">
        <w:trPr>
          <w:trHeight w:val="7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D06F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CFF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svaki račun obavljena je matematička kontrola ispravnosti iznosa koji je zaračunan što je evidentno u postupku obrade računa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5C7F79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2E999" w14:textId="5494546F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8659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A8A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21" w14:textId="3EAEBEAE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6A5A4B8" w14:textId="77777777" w:rsidTr="00B16BA4">
        <w:trPr>
          <w:trHeight w:val="5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2CB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E81C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Provjereno je postojanje potpisa, žiga ili elektroničke oznake kojom se može potvrditi da je račun odobren za plaćanje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3A312B" w14:textId="77777777"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D24E5" w14:textId="66D277EC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D631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896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849" w14:textId="50D5E63D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4759E290" w14:textId="77777777" w:rsidTr="00C1725D">
        <w:trPr>
          <w:trHeight w:val="56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E56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A52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 dužnicima usklađeni su podaci o potraživanjima na datum 31. listopada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DB93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7ACF4" w14:textId="334F87B4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2E00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997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FDB" w14:textId="38EE8183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7900C2D7" w14:textId="77777777" w:rsidTr="00C1725D">
        <w:trPr>
          <w:trHeight w:val="72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9C61" w14:textId="77777777" w:rsidR="006E5B9B" w:rsidRDefault="006E5B9B" w:rsidP="00B16BA4">
            <w:pPr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2EED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Izvještaj o obavljenom popisu sadrži popis potraživanja i obveza po pojedinom vjerovniku, odnosno dužniku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DECF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8F31D" w14:textId="0D15DE9C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34D2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435D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DC3" w14:textId="30EB3FC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05049BB8" w14:textId="77777777" w:rsidTr="00C1725D">
        <w:trPr>
          <w:trHeight w:val="2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AA5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ABB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2937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56DB" w14:textId="1B09AE7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3CC40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920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47E" w14:textId="4BFA902E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0A55F0AE" w14:textId="77777777" w:rsidTr="00C1725D">
        <w:trPr>
          <w:trHeight w:val="5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6A26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5D4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Ustrojene su evidencije (baze podataka, interni registri i dr.) dugotrajne imovine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DB71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709B0" w14:textId="5D76A9A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6E3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268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848" w14:textId="667A1B36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</w:tbl>
    <w:p w14:paraId="1DFEF39E" w14:textId="77777777"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14:paraId="58D4B4E9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14:paraId="732D378B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14:paraId="28B8B4BA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se u različitim pitanjima traži isti dokaz, potrebno ga je priložiti samo jednom </w:t>
      </w:r>
    </w:p>
    <w:p w14:paraId="50FA0655" w14:textId="77777777" w:rsidR="006E5B9B" w:rsidRDefault="006E5B9B" w:rsidP="006E5B9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6331"/>
        <w:gridCol w:w="563"/>
        <w:gridCol w:w="505"/>
        <w:gridCol w:w="639"/>
        <w:gridCol w:w="4876"/>
      </w:tblGrid>
      <w:tr w:rsidR="006E5B9B" w14:paraId="0DD7CC08" w14:textId="77777777" w:rsidTr="00B16BA4">
        <w:trPr>
          <w:trHeight w:val="28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D1BEA7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38BC2FD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3C45834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7872C6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14:paraId="32EF6F3F" w14:textId="77777777" w:rsidTr="00B16BA4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07EE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F1B4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E461BB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860685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8B4F003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78CF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14:paraId="54966118" w14:textId="77777777" w:rsidTr="00B16BA4">
        <w:trPr>
          <w:trHeight w:val="406"/>
        </w:trPr>
        <w:tc>
          <w:tcPr>
            <w:tcW w:w="1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99C2" w14:textId="77777777"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IZVJEŠTAVANJE</w:t>
            </w:r>
          </w:p>
        </w:tc>
      </w:tr>
      <w:tr w:rsidR="006E5B9B" w14:paraId="75ED734C" w14:textId="77777777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7C9B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057D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predaje financijskih izvještaja poštivali su se rokovi i način predaje utvrđeni Zakonom o računovodstvu, odnosno Zakonom o financijskom poslovanju i računovodstvu neprofitnih organizacija i na temelju njih donesenim propisima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9B952F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1B82A" w14:textId="299CAEB6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2C73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6BD" w14:textId="7777777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14:paraId="0EEBB15A" w14:textId="57DD7E25" w:rsidR="00D64C2A" w:rsidRDefault="00CB18F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hyperlink r:id="rId13" w:history="1">
              <w:r w:rsidR="00D64C2A" w:rsidRPr="000263DB">
                <w:rPr>
                  <w:rStyle w:val="Hiperveza"/>
                  <w:rFonts w:ascii="Arial" w:hAnsi="Arial" w:cs="Arial"/>
                  <w:sz w:val="20"/>
                  <w:szCs w:val="20"/>
                  <w:lang w:eastAsia="en-US"/>
                </w:rPr>
                <w:t>https://www.vvk.hr/images/godisnje_izvjesce/</w:t>
              </w:r>
            </w:hyperlink>
          </w:p>
          <w:p w14:paraId="157EC974" w14:textId="77777777" w:rsidR="00D64C2A" w:rsidRDefault="00D64C2A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D64C2A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Godi%C5%A1nji%20izvje%C5%A1taj%20o%20</w:t>
            </w:r>
          </w:p>
          <w:p w14:paraId="495C531E" w14:textId="3C03228F" w:rsidR="006E5B9B" w:rsidRDefault="00D64C2A" w:rsidP="00D64C2A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D64C2A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poslovanju%202019.%20VVK.pdf</w:t>
            </w:r>
          </w:p>
        </w:tc>
      </w:tr>
      <w:tr w:rsidR="006E5B9B" w14:paraId="482CD9AD" w14:textId="77777777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D1CC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B76B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godišnji izvještaj o poslovanju u skladu s Uputom za izradu i dostavu planova i izvještaja o poslovanju trgovačkih društava i pravnih osoba koji čine državnu imovinu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0E760A2" w14:textId="2C573BC5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772FBB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130A08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810" w14:textId="7777777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64DA694" w14:textId="77777777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78FD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50A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izvještaje (bilanca, RDIG, izvještaj o novčanom toku, podaci za Ministarstvo financija, prikaz ključnih sektorskih (industrijskih) pokazatelja poslovanja) koji uključuju i:</w:t>
            </w:r>
          </w:p>
          <w:p w14:paraId="33395F56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planske veličine, odnosno plan poslovanja iz godišnjih financijskih planova poslovanja, u obliku indeksa</w:t>
            </w:r>
          </w:p>
          <w:p w14:paraId="3B0B4600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ostvarene rezultate, odnosno ostvarenja za ekvivalentne veličine (isti period) iz Izvještaj o poslovanju (ostvarenju) za prethodna razdoblja, u obliku indeksa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94D16" w14:textId="7AE75428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F0BB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1A40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A0F" w14:textId="055A5DA5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26F65B9B" w14:textId="77777777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C26E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D8D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analizu duga, koja se sastoji od:</w:t>
            </w:r>
          </w:p>
          <w:p w14:paraId="427080B1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primljenih kredita</w:t>
            </w:r>
          </w:p>
          <w:p w14:paraId="7105D14D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danih garancija i jamstava</w:t>
            </w:r>
          </w:p>
          <w:p w14:paraId="073B705C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obveznica</w:t>
            </w:r>
          </w:p>
          <w:p w14:paraId="0E5236CB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ostalog duga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CB429" w14:textId="17946CC8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8350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726DC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5E2" w14:textId="76C736A4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7722EBDC" w14:textId="77777777" w:rsidTr="00157AE6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50E3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E8F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izvještaj o poslovanju sadrži popis dodijeljene državne potpore u skladu sa Zakonom o državnim potporama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CCC38" w14:textId="341DFE03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32C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92C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C4A" w14:textId="53881827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4408955" w14:textId="77777777" w:rsidTr="00157AE6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F53F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7DCD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Opisni dio godišnjeg izvještaja o poslovanju uključuje sažetak financijske analize poslovne godine s osvrtom na, između ostalog:</w:t>
            </w:r>
          </w:p>
          <w:p w14:paraId="11B81577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neto dobit, EBITDA i bruto marža, apsolutno i u postotku</w:t>
            </w:r>
          </w:p>
          <w:p w14:paraId="5E1C3099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značajnijih investicija i ulaganja</w:t>
            </w:r>
          </w:p>
          <w:p w14:paraId="7A814A86" w14:textId="77777777"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opis promjena u ključnim pokazateljima poslovanja (likvidnost, zaduženost, aktivnost i profitabilnost)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4FAED" w14:textId="7DA68C42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B46D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A7449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2DA" w14:textId="271383A2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4BA4A876" w14:textId="77777777" w:rsidTr="00B16BA4">
        <w:trPr>
          <w:trHeight w:val="7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170B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4F4E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izvještaj o provedbi godišnjeg programa rada i financijskog plana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svi osim trgovačkih društava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839BA" w14:textId="795FB1A4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B7EF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2C73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2C26" w14:textId="577D84BE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</w:tbl>
    <w:p w14:paraId="06DF9E0C" w14:textId="77777777"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14:paraId="4BBEEA68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14:paraId="76336C86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14:paraId="2DD73B3B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14:paraId="3508054D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14:paraId="0FC01DA9" w14:textId="77777777" w:rsidR="006E5B9B" w:rsidRDefault="006E5B9B" w:rsidP="006E5B9B">
      <w:pPr>
        <w:rPr>
          <w:sz w:val="20"/>
          <w:szCs w:val="20"/>
        </w:rPr>
      </w:pPr>
    </w:p>
    <w:p w14:paraId="583EA932" w14:textId="77777777" w:rsidR="006E5B9B" w:rsidRDefault="006E5B9B" w:rsidP="006E5B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56"/>
        <w:gridCol w:w="563"/>
        <w:gridCol w:w="505"/>
        <w:gridCol w:w="639"/>
        <w:gridCol w:w="4987"/>
      </w:tblGrid>
      <w:tr w:rsidR="006E5B9B" w14:paraId="6ECBAAB8" w14:textId="77777777" w:rsidTr="00B16BA4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EDC3F8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A83F503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5B2791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09B758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14:paraId="6D9A8147" w14:textId="77777777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4983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306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A55C02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C76F7F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0D52DF" w14:textId="77777777"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190A" w14:textId="77777777"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14:paraId="4FF57182" w14:textId="77777777" w:rsidTr="00B16BA4">
        <w:trPr>
          <w:trHeight w:val="426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92B" w14:textId="77777777"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TRANSPARENTNOST </w:t>
            </w:r>
          </w:p>
        </w:tc>
      </w:tr>
      <w:tr w:rsidR="006E5B9B" w14:paraId="62A24615" w14:textId="77777777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06EB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1FF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Definirani su i objavljeni interni akti kojima se uredilo pitanje pravila za prevenciju od korupcije i osiguranja profesionalnog ponašanja, koja se odnose na osobe koje nisu dužnosnici prema Zakonu o sprečavanju sukoba interesa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D4300BF" w14:textId="672ECF8B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E80603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DF762E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5EF" w14:textId="77777777"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28E89E93" w14:textId="77777777" w:rsidTr="00157AE6">
        <w:trPr>
          <w:trHeight w:val="6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77FA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E6D7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darovima i naknadama od poslovnih partnera i poslovnim partnerima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99B85" w14:textId="09DD0827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04037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C645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F5D" w14:textId="00750E99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392CDE7" w14:textId="77777777" w:rsidTr="00157AE6">
        <w:trPr>
          <w:trHeight w:val="5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346E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67A8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povjerljivošću i nepristranošću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57012" w14:textId="7F8E6EEB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94CCA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AA9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818" w14:textId="25BDC020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32D67438" w14:textId="77777777" w:rsidTr="00157AE6">
        <w:trPr>
          <w:trHeight w:val="4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DEB4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5351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mogućnošću obavljanja dodatnog posla (izvan radnog vremena)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1F8D" w14:textId="16423AC3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D158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FA37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096" w14:textId="7B805C78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1EF7D714" w14:textId="77777777" w:rsidTr="00157AE6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5472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41.4.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C56E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razdvajanjem privatnih i poslovnih interesa i sl.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1043F" w14:textId="05D51B64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CC553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AABDD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54B" w14:textId="066872ED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6A4AFBDE" w14:textId="77777777" w:rsidTr="00157AE6">
        <w:trPr>
          <w:trHeight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2E30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1EF7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Uvedena je obveza potpisivanja izjave o povjerljivosti i nepristranosti za zaposlenike na radnim mjestima koja su, analizom i procjenom rizika, ocijenjena visokim stupnjem rizika na korupciju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D601" w14:textId="5B8888EB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AA9F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7857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93A" w14:textId="700DAB9C"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14:paraId="0150DA74" w14:textId="77777777" w:rsidTr="00B16BA4">
        <w:trPr>
          <w:trHeight w:val="5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5D8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A67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objavljeni su podaci i informacije sukladno članku 10. Zakona o pravu na pristup informacijama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13B319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6EB7281" w14:textId="1FF9850D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194C59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5C0" w14:textId="3D416E78" w:rsidR="006E5B9B" w:rsidRDefault="00157AE6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https://www.vvk.hr</w:t>
            </w:r>
          </w:p>
        </w:tc>
      </w:tr>
      <w:tr w:rsidR="006E5B9B" w14:paraId="6C304C2C" w14:textId="77777777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9545B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F416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na lako pretraživ način i u strojno čitljivom obliku objavljeni su godišnji planovi, programi, strategije, upute, izvješća o radu, financijska izvješća i drugi odgovarajući dokumenti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6F1CAD8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F9058" w14:textId="427209DB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14B9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0471" w14:textId="16387CE4" w:rsidR="006E5B9B" w:rsidRDefault="00157AE6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https://www.vvk.hr/onama/godisnji-financijski-izvjestaji.html</w:t>
            </w:r>
          </w:p>
        </w:tc>
      </w:tr>
      <w:tr w:rsidR="006E5B9B" w14:paraId="26A8578F" w14:textId="77777777" w:rsidTr="00B16BA4">
        <w:trPr>
          <w:trHeight w:val="9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2E32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F188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 je financijski plan ili drugi odgovarajući dokument kojim se utvrđuju prihodi i rashodi te podaci i izvješća o izvršenju financijskog plana ili drugog odgovarajućeg dokumenta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1B5BF2F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1A36" w14:textId="2BF0F100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E3C9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744C" w14:textId="1228FA8D" w:rsidR="006E5B9B" w:rsidRDefault="00157AE6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https://www.vvk.hr/onama/godisnji-financijski-izvjestaji.html</w:t>
            </w:r>
          </w:p>
        </w:tc>
      </w:tr>
      <w:tr w:rsidR="006E5B9B" w14:paraId="6C3D7EFD" w14:textId="77777777" w:rsidTr="00887E0B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DB86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D9A" w14:textId="77777777"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objavljene su informacije o dodijeljenim bespovratnim sredstvima, sponzorstvima, donacijama ili drugim pomoćima, uključujući popis korisnika i visinu iznosa.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A015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215E1" w14:textId="555A49B1" w:rsidR="006E5B9B" w:rsidRDefault="00DB6FC4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E20D1" w14:textId="77777777"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E817" w14:textId="0A94906B" w:rsidR="006E5B9B" w:rsidRDefault="00157AE6" w:rsidP="00B16BA4">
            <w:pP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pPr>
            <w:r w:rsidRPr="00157AE6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>https://www.vvk.hr/onama/donacije-i-sponzorstva.html</w:t>
            </w:r>
          </w:p>
        </w:tc>
      </w:tr>
    </w:tbl>
    <w:p w14:paraId="0E3D9870" w14:textId="77777777" w:rsidR="006E5B9B" w:rsidRDefault="006E5B9B" w:rsidP="006E5B9B">
      <w:pPr>
        <w:rPr>
          <w:rFonts w:ascii="Arial" w:hAnsi="Arial" w:cs="Arial"/>
          <w:bCs/>
          <w:sz w:val="20"/>
          <w:szCs w:val="20"/>
        </w:rPr>
      </w:pPr>
    </w:p>
    <w:p w14:paraId="6C0DC326" w14:textId="77777777"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14:paraId="67046710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14:paraId="2EF2BE22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14:paraId="3174F8B7" w14:textId="77777777"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14:paraId="6F766091" w14:textId="77777777" w:rsidR="006E5B9B" w:rsidRDefault="006E5B9B" w:rsidP="006E5B9B">
      <w:pPr>
        <w:rPr>
          <w:i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14:paraId="2B637D95" w14:textId="77777777" w:rsidR="00CC3AF7" w:rsidRDefault="00CC3AF7"/>
    <w:sectPr w:rsidR="00CC3AF7" w:rsidSect="00DF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578A" w14:textId="77777777" w:rsidR="00CB18FB" w:rsidRDefault="00CB18FB" w:rsidP="006E5B9B">
      <w:r>
        <w:separator/>
      </w:r>
    </w:p>
  </w:endnote>
  <w:endnote w:type="continuationSeparator" w:id="0">
    <w:p w14:paraId="20F64435" w14:textId="77777777" w:rsidR="00CB18FB" w:rsidRDefault="00CB18FB" w:rsidP="006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1DD2" w14:textId="77777777" w:rsidR="00CB18FB" w:rsidRDefault="00CB18FB" w:rsidP="006E5B9B">
      <w:r>
        <w:separator/>
      </w:r>
    </w:p>
  </w:footnote>
  <w:footnote w:type="continuationSeparator" w:id="0">
    <w:p w14:paraId="29AC6363" w14:textId="77777777" w:rsidR="00CB18FB" w:rsidRDefault="00CB18FB" w:rsidP="006E5B9B">
      <w:r>
        <w:continuationSeparator/>
      </w:r>
    </w:p>
  </w:footnote>
  <w:footnote w:id="1">
    <w:p w14:paraId="1E671D39" w14:textId="77777777"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14:paraId="74D8E527" w14:textId="77777777"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3">
    <w:p w14:paraId="3FDBF404" w14:textId="77777777"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4">
    <w:p w14:paraId="742D1830" w14:textId="77777777"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14:paraId="0105E85F" w14:textId="77777777"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14:paraId="5AB02C99" w14:textId="77777777" w:rsidR="006E5B9B" w:rsidRDefault="006E5B9B" w:rsidP="006E5B9B">
      <w:pPr>
        <w:pStyle w:val="Tekstfusnote"/>
      </w:pPr>
    </w:p>
  </w:footnote>
  <w:footnote w:id="6">
    <w:p w14:paraId="33ABCA3E" w14:textId="77777777"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14:paraId="607A779A" w14:textId="77777777"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14:paraId="554B28EF" w14:textId="77777777"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14:paraId="3F6E386F" w14:textId="77777777"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10">
    <w:p w14:paraId="0277CB7A" w14:textId="77777777"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14:paraId="48C5AFEE" w14:textId="77777777" w:rsidR="006E5B9B" w:rsidRDefault="006E5B9B" w:rsidP="006E5B9B">
      <w:pPr>
        <w:pStyle w:val="Tekstfusnote"/>
      </w:pPr>
    </w:p>
  </w:footnote>
  <w:footnote w:id="11">
    <w:p w14:paraId="62FB2889" w14:textId="77777777"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14:paraId="584EEFE7" w14:textId="77777777" w:rsidR="006E5B9B" w:rsidRDefault="006E5B9B" w:rsidP="006E5B9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C03B2"/>
    <w:multiLevelType w:val="hybridMultilevel"/>
    <w:tmpl w:val="7654F880"/>
    <w:lvl w:ilvl="0" w:tplc="0E0C5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9B"/>
    <w:rsid w:val="000E21C3"/>
    <w:rsid w:val="00157AE6"/>
    <w:rsid w:val="001D2035"/>
    <w:rsid w:val="002A70E4"/>
    <w:rsid w:val="002C13CB"/>
    <w:rsid w:val="002C2458"/>
    <w:rsid w:val="003B6AC2"/>
    <w:rsid w:val="00476818"/>
    <w:rsid w:val="00531EA9"/>
    <w:rsid w:val="006A6189"/>
    <w:rsid w:val="006E250C"/>
    <w:rsid w:val="006E5B9B"/>
    <w:rsid w:val="007B0788"/>
    <w:rsid w:val="00823AAB"/>
    <w:rsid w:val="0082406E"/>
    <w:rsid w:val="00887E0B"/>
    <w:rsid w:val="0097131E"/>
    <w:rsid w:val="00AA0A6F"/>
    <w:rsid w:val="00C1725D"/>
    <w:rsid w:val="00CB18FB"/>
    <w:rsid w:val="00CC3AF7"/>
    <w:rsid w:val="00D64C2A"/>
    <w:rsid w:val="00DB6FC4"/>
    <w:rsid w:val="00DF31D4"/>
    <w:rsid w:val="00F07FFA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FCAE"/>
  <w15:chartTrackingRefBased/>
  <w15:docId w15:val="{3E1D72E6-ECFB-4DD7-854C-49EC832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semiHidden/>
    <w:locked/>
    <w:rsid w:val="006E5B9B"/>
    <w:rPr>
      <w:rFonts w:eastAsia="Times New Roman" w:cs="Times New Roman"/>
      <w:sz w:val="20"/>
      <w:szCs w:val="20"/>
      <w:lang w:val="en-US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unhideWhenUsed/>
    <w:rsid w:val="006E5B9B"/>
    <w:rPr>
      <w:rFonts w:asciiTheme="minorHAnsi" w:hAnsiTheme="minorHAnsi"/>
      <w:sz w:val="20"/>
      <w:szCs w:val="20"/>
      <w:lang w:val="en-US"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6E5B9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uiPriority w:val="99"/>
    <w:semiHidden/>
    <w:unhideWhenUsed/>
    <w:rsid w:val="006E5B9B"/>
    <w:rPr>
      <w:rFonts w:ascii="Times New Roman" w:hAnsi="Times New Roman" w:cs="Times New Roman" w:hint="default"/>
      <w:vertAlign w:val="superscript"/>
    </w:rPr>
  </w:style>
  <w:style w:type="character" w:styleId="Hiperveza">
    <w:name w:val="Hyperlink"/>
    <w:basedOn w:val="Zadanifontodlomka"/>
    <w:uiPriority w:val="99"/>
    <w:unhideWhenUsed/>
    <w:rsid w:val="00157A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k.hr/images/godisnje_izvjesce/Plan%20" TargetMode="External"/><Relationship Id="rId13" Type="http://schemas.openxmlformats.org/officeDocument/2006/relationships/hyperlink" Target="https://www.vvk.hr/images/godisnje_izvjes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vk.hr/images/godisnje_izvjesce/Plan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vk.hr/images/godisnje_izvjesce/Plan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vk.hr/images/godisnje_izvjesce/Plan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vk.hr/images/godisnje_izvjesce/Plan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65B6-6BF5-4464-BB0A-91F3F77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Josip Kelić</cp:lastModifiedBy>
  <cp:revision>13</cp:revision>
  <cp:lastPrinted>2021-03-17T10:58:00Z</cp:lastPrinted>
  <dcterms:created xsi:type="dcterms:W3CDTF">2020-03-16T10:03:00Z</dcterms:created>
  <dcterms:modified xsi:type="dcterms:W3CDTF">2021-03-19T09:12:00Z</dcterms:modified>
</cp:coreProperties>
</file>